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6BEE" w14:textId="464F90F9" w:rsidR="0070553C" w:rsidRPr="00E25DEB" w:rsidRDefault="00EA50A3" w:rsidP="00B42F90">
      <w:pPr>
        <w:widowControl w:val="0"/>
        <w:autoSpaceDE w:val="0"/>
        <w:autoSpaceDN w:val="0"/>
        <w:adjustRightInd w:val="0"/>
        <w:jc w:val="both"/>
        <w:rPr>
          <w:rFonts w:cs="Times New Roman"/>
          <w:iCs/>
          <w:color w:val="343434"/>
          <w:sz w:val="22"/>
          <w:szCs w:val="22"/>
          <w:lang w:val="hr-HR"/>
        </w:rPr>
      </w:pPr>
      <w:r w:rsidRPr="00E25DEB">
        <w:rPr>
          <w:rFonts w:cs="Times New Roman"/>
          <w:iCs/>
          <w:color w:val="343434"/>
          <w:sz w:val="22"/>
          <w:szCs w:val="22"/>
          <w:lang w:val="hr-HR"/>
        </w:rPr>
        <w:t xml:space="preserve">Udruga roditelja </w:t>
      </w:r>
      <w:r w:rsidR="009F2F10" w:rsidRPr="00E25DEB">
        <w:rPr>
          <w:rFonts w:cs="Times New Roman"/>
          <w:iCs/>
          <w:color w:val="343434"/>
          <w:sz w:val="22"/>
          <w:szCs w:val="22"/>
          <w:lang w:val="hr-HR"/>
        </w:rPr>
        <w:t xml:space="preserve">'Žaba' </w:t>
      </w:r>
      <w:r w:rsidRPr="00E25DEB">
        <w:rPr>
          <w:rFonts w:cs="Times New Roman"/>
          <w:iCs/>
          <w:color w:val="343434"/>
          <w:sz w:val="22"/>
          <w:szCs w:val="22"/>
          <w:lang w:val="hr-HR"/>
        </w:rPr>
        <w:t>v Leptirić</w:t>
      </w:r>
      <w:r w:rsidR="003963CD" w:rsidRPr="00E25DEB">
        <w:rPr>
          <w:rFonts w:cs="Times New Roman"/>
          <w:iCs/>
          <w:color w:val="343434"/>
          <w:sz w:val="22"/>
          <w:szCs w:val="22"/>
          <w:lang w:val="hr-HR"/>
        </w:rPr>
        <w:t xml:space="preserve"> TV</w:t>
      </w:r>
    </w:p>
    <w:p w14:paraId="0A7309E6" w14:textId="77777777" w:rsidR="003963CD" w:rsidRPr="00E25DEB" w:rsidRDefault="003963CD" w:rsidP="00B42F90">
      <w:pPr>
        <w:widowControl w:val="0"/>
        <w:autoSpaceDE w:val="0"/>
        <w:autoSpaceDN w:val="0"/>
        <w:adjustRightInd w:val="0"/>
        <w:jc w:val="both"/>
        <w:rPr>
          <w:rFonts w:cs="Times New Roman"/>
          <w:iCs/>
          <w:color w:val="343434"/>
          <w:sz w:val="22"/>
          <w:szCs w:val="22"/>
          <w:lang w:val="hr-HR"/>
        </w:rPr>
      </w:pPr>
    </w:p>
    <w:p w14:paraId="171344EA" w14:textId="77777777" w:rsidR="003963CD" w:rsidRPr="00E25DEB" w:rsidRDefault="003963CD" w:rsidP="00B42F90">
      <w:pPr>
        <w:widowControl w:val="0"/>
        <w:autoSpaceDE w:val="0"/>
        <w:autoSpaceDN w:val="0"/>
        <w:adjustRightInd w:val="0"/>
        <w:jc w:val="both"/>
        <w:rPr>
          <w:rFonts w:cs="Times New Roman"/>
          <w:iCs/>
          <w:color w:val="343434"/>
          <w:sz w:val="22"/>
          <w:szCs w:val="22"/>
          <w:lang w:val="hr-HR"/>
        </w:rPr>
      </w:pPr>
      <w:r w:rsidRPr="00E25DEB">
        <w:rPr>
          <w:rFonts w:cs="Times New Roman"/>
          <w:iCs/>
          <w:color w:val="343434"/>
          <w:sz w:val="22"/>
          <w:szCs w:val="22"/>
          <w:lang w:val="hr-HR"/>
        </w:rPr>
        <w:t xml:space="preserve">S približavanjem božićnih blagdana, privatna TV stanica koja emitira programe namijenjene djeci i mladima , Leptirić TV, pojačala je reklamiranje. Svakih 30 minuta, bez obzira na program koji se emitira, puštaju se blokovi reklama od po 10 minuta, koji uglavnom reklamiraju razne igračke kao prigodne darove za nadolazeće blagdane. Iznervirana ovakvim napadom na djecu, Udruga roditelja odlučila je poduzeti hitne mjere ne bi li spriječila takvo ponašanje. Između ostalog, Udruga je pokrenula sudski postupak pred upravnim sudom Klauzije, države članice EU tražeći da se količina reklama uskladi s Direktivom 2010/13. U očekivanju konačne odluke suda, Udruga je tražila donošenje privremenih mjera. </w:t>
      </w:r>
    </w:p>
    <w:p w14:paraId="55E2A50F" w14:textId="1910516B" w:rsidR="003963CD" w:rsidRPr="00E25DEB" w:rsidRDefault="003963CD" w:rsidP="00B42F90">
      <w:pPr>
        <w:widowControl w:val="0"/>
        <w:autoSpaceDE w:val="0"/>
        <w:autoSpaceDN w:val="0"/>
        <w:adjustRightInd w:val="0"/>
        <w:jc w:val="both"/>
        <w:rPr>
          <w:rFonts w:cs="Times New Roman"/>
          <w:iCs/>
          <w:color w:val="343434"/>
          <w:sz w:val="22"/>
          <w:szCs w:val="22"/>
          <w:lang w:val="hr-HR"/>
        </w:rPr>
      </w:pPr>
      <w:r w:rsidRPr="00E25DEB">
        <w:rPr>
          <w:rFonts w:cs="Times New Roman"/>
          <w:iCs/>
          <w:color w:val="343434"/>
          <w:sz w:val="22"/>
          <w:szCs w:val="22"/>
          <w:lang w:val="hr-HR"/>
        </w:rPr>
        <w:t>Pred sudom se Udruga posebno poziva na članak 20/2 navedene direktive te na članak 24</w:t>
      </w:r>
      <w:r w:rsidR="008F4931" w:rsidRPr="00E25DEB">
        <w:rPr>
          <w:rFonts w:cs="Times New Roman"/>
          <w:iCs/>
          <w:color w:val="343434"/>
          <w:sz w:val="22"/>
          <w:szCs w:val="22"/>
          <w:lang w:val="hr-HR"/>
        </w:rPr>
        <w:t xml:space="preserve">. Povelje EU o ljudskim pravima i temeljnim slobodama koji se odnosi na prava djeteta. </w:t>
      </w:r>
      <w:r w:rsidRPr="00E25DEB">
        <w:rPr>
          <w:rFonts w:cs="Times New Roman"/>
          <w:iCs/>
          <w:color w:val="343434"/>
          <w:sz w:val="22"/>
          <w:szCs w:val="22"/>
          <w:lang w:val="hr-HR"/>
        </w:rPr>
        <w:t xml:space="preserve"> </w:t>
      </w:r>
    </w:p>
    <w:p w14:paraId="546DF094" w14:textId="18B32FE4" w:rsidR="00EA50A3" w:rsidRPr="00E25DEB" w:rsidRDefault="00FE2A95" w:rsidP="00B42F90">
      <w:pPr>
        <w:widowControl w:val="0"/>
        <w:autoSpaceDE w:val="0"/>
        <w:autoSpaceDN w:val="0"/>
        <w:adjustRightInd w:val="0"/>
        <w:jc w:val="both"/>
        <w:rPr>
          <w:rFonts w:cs="Times New Roman"/>
          <w:iCs/>
          <w:color w:val="343434"/>
          <w:sz w:val="22"/>
          <w:szCs w:val="22"/>
          <w:lang w:val="hr-HR"/>
        </w:rPr>
      </w:pPr>
      <w:r w:rsidRPr="00E25DEB">
        <w:rPr>
          <w:rFonts w:cs="Times New Roman"/>
          <w:iCs/>
          <w:color w:val="343434"/>
          <w:sz w:val="22"/>
          <w:szCs w:val="22"/>
          <w:lang w:val="hr-HR"/>
        </w:rPr>
        <w:t xml:space="preserve">Klauzija je provela Direktivu uvrštavajući je u svoj od ranije postojeći Zakon o telekomunikacijama. Njime je, između ostalog, predviđeno da se reklamni sadržaji mogu emitirati u razmacima od po 30 minuta. Zakon ne govori ništa o trajanju reklama, niti sadrži posebne odredbe koje se odnose na programe namijenjene djeci. </w:t>
      </w:r>
    </w:p>
    <w:p w14:paraId="46C243D4" w14:textId="77777777" w:rsidR="0070553C" w:rsidRPr="00E25DEB" w:rsidRDefault="0070553C" w:rsidP="00B42F90">
      <w:pPr>
        <w:widowControl w:val="0"/>
        <w:autoSpaceDE w:val="0"/>
        <w:autoSpaceDN w:val="0"/>
        <w:adjustRightInd w:val="0"/>
        <w:jc w:val="both"/>
        <w:rPr>
          <w:rFonts w:cs="Times New Roman"/>
          <w:i/>
          <w:iCs/>
          <w:color w:val="343434"/>
          <w:sz w:val="22"/>
          <w:szCs w:val="22"/>
          <w:lang w:val="hr-HR"/>
        </w:rPr>
      </w:pPr>
    </w:p>
    <w:p w14:paraId="7CB4677E" w14:textId="77777777" w:rsidR="00063D99" w:rsidRPr="00E25DEB" w:rsidRDefault="00063D99" w:rsidP="00B42F90">
      <w:pPr>
        <w:widowControl w:val="0"/>
        <w:autoSpaceDE w:val="0"/>
        <w:autoSpaceDN w:val="0"/>
        <w:adjustRightInd w:val="0"/>
        <w:jc w:val="both"/>
        <w:rPr>
          <w:rFonts w:cs="Times New Roman"/>
          <w:b/>
          <w:bCs/>
          <w:sz w:val="22"/>
          <w:szCs w:val="22"/>
          <w:lang w:val="hr-HR"/>
        </w:rPr>
      </w:pPr>
    </w:p>
    <w:p w14:paraId="506C7925" w14:textId="58E697EA" w:rsidR="00515088" w:rsidRPr="00E25DEB" w:rsidRDefault="00515088" w:rsidP="00B42F90">
      <w:pPr>
        <w:widowControl w:val="0"/>
        <w:autoSpaceDE w:val="0"/>
        <w:autoSpaceDN w:val="0"/>
        <w:adjustRightInd w:val="0"/>
        <w:jc w:val="both"/>
        <w:rPr>
          <w:rFonts w:cs="Times New Roman"/>
          <w:bCs/>
          <w:sz w:val="22"/>
          <w:szCs w:val="22"/>
          <w:lang w:val="hr-HR"/>
        </w:rPr>
      </w:pPr>
      <w:r w:rsidRPr="00E25DEB">
        <w:rPr>
          <w:rFonts w:cs="Times New Roman"/>
          <w:bCs/>
          <w:sz w:val="22"/>
          <w:szCs w:val="22"/>
          <w:lang w:val="hr-HR"/>
        </w:rPr>
        <w:t>DIREKTIVA 2010/13/EU</w:t>
      </w:r>
      <w:r w:rsidR="00E62E90" w:rsidRPr="00E25DEB">
        <w:rPr>
          <w:rFonts w:cs="Times New Roman"/>
          <w:bCs/>
          <w:sz w:val="22"/>
          <w:szCs w:val="22"/>
          <w:lang w:val="hr-HR"/>
        </w:rPr>
        <w:t xml:space="preserve"> </w:t>
      </w:r>
      <w:r w:rsidRPr="00E25DEB">
        <w:rPr>
          <w:rFonts w:cs="Times New Roman"/>
          <w:bCs/>
          <w:sz w:val="22"/>
          <w:szCs w:val="22"/>
          <w:lang w:val="hr-HR"/>
        </w:rPr>
        <w:t>o au</w:t>
      </w:r>
      <w:r w:rsidR="00E62E90" w:rsidRPr="00E25DEB">
        <w:rPr>
          <w:rFonts w:cs="Times New Roman"/>
          <w:bCs/>
          <w:sz w:val="22"/>
          <w:szCs w:val="22"/>
          <w:lang w:val="hr-HR"/>
        </w:rPr>
        <w:t>diovizualnim medijskim uslugama</w:t>
      </w:r>
    </w:p>
    <w:p w14:paraId="6C705C60" w14:textId="77777777" w:rsidR="00515088" w:rsidRPr="00E25DEB" w:rsidRDefault="00515088" w:rsidP="00B42F90">
      <w:pPr>
        <w:widowControl w:val="0"/>
        <w:autoSpaceDE w:val="0"/>
        <w:autoSpaceDN w:val="0"/>
        <w:adjustRightInd w:val="0"/>
        <w:jc w:val="both"/>
        <w:rPr>
          <w:rFonts w:cs="Times New Roman"/>
          <w:i/>
          <w:iCs/>
          <w:sz w:val="22"/>
          <w:szCs w:val="22"/>
          <w:lang w:val="hr-HR"/>
        </w:rPr>
      </w:pPr>
      <w:r w:rsidRPr="00E25DEB">
        <w:rPr>
          <w:rFonts w:cs="Times New Roman"/>
          <w:i/>
          <w:iCs/>
          <w:sz w:val="22"/>
          <w:szCs w:val="22"/>
          <w:lang w:val="hr-HR"/>
        </w:rPr>
        <w:t>Članak 20.</w:t>
      </w:r>
    </w:p>
    <w:p w14:paraId="2D94CA35" w14:textId="77777777" w:rsidR="00515088" w:rsidRPr="00E25DEB" w:rsidRDefault="00515088" w:rsidP="00B42F90">
      <w:pPr>
        <w:widowControl w:val="0"/>
        <w:autoSpaceDE w:val="0"/>
        <w:autoSpaceDN w:val="0"/>
        <w:adjustRightInd w:val="0"/>
        <w:jc w:val="both"/>
        <w:rPr>
          <w:rFonts w:cs="Times New Roman"/>
          <w:sz w:val="22"/>
          <w:szCs w:val="22"/>
          <w:lang w:val="hr-HR"/>
        </w:rPr>
      </w:pPr>
      <w:r w:rsidRPr="00E25DEB">
        <w:rPr>
          <w:rFonts w:cs="Times New Roman"/>
          <w:sz w:val="22"/>
          <w:szCs w:val="22"/>
          <w:lang w:val="hr-HR"/>
        </w:rPr>
        <w:t>1.   Države članice osiguravaju da se, kad se televizijsko oglašavanje ili teletrgovina ubacuju tijekom programa, cjelovitost programa, uzimajući u obzir prirodne prekide, trajanje i prirodu programa, kao i prava nositelja prava, ne dovode u pitanje.</w:t>
      </w:r>
    </w:p>
    <w:p w14:paraId="401E2C7E" w14:textId="2E159E3B" w:rsidR="00515088" w:rsidRPr="00E25DEB" w:rsidRDefault="00515088" w:rsidP="00B42F90">
      <w:pPr>
        <w:widowControl w:val="0"/>
        <w:autoSpaceDE w:val="0"/>
        <w:autoSpaceDN w:val="0"/>
        <w:adjustRightInd w:val="0"/>
        <w:jc w:val="both"/>
        <w:rPr>
          <w:rFonts w:cs="Times New Roman"/>
          <w:sz w:val="22"/>
          <w:szCs w:val="22"/>
          <w:lang w:val="hr-HR"/>
        </w:rPr>
      </w:pPr>
      <w:r w:rsidRPr="00E25DEB">
        <w:rPr>
          <w:rFonts w:cs="Times New Roman"/>
          <w:sz w:val="22"/>
          <w:szCs w:val="22"/>
          <w:lang w:val="hr-HR"/>
        </w:rPr>
        <w:t>2.   </w:t>
      </w:r>
      <w:r w:rsidR="00E25DEB">
        <w:rPr>
          <w:rFonts w:cs="Times New Roman"/>
          <w:sz w:val="22"/>
          <w:szCs w:val="22"/>
          <w:lang w:val="hr-HR"/>
        </w:rPr>
        <w:t>(...)</w:t>
      </w:r>
      <w:r w:rsidRPr="00E25DEB">
        <w:rPr>
          <w:rFonts w:cs="Times New Roman"/>
          <w:sz w:val="22"/>
          <w:szCs w:val="22"/>
          <w:lang w:val="hr-HR"/>
        </w:rPr>
        <w:t xml:space="preserve"> Prijenos dječjih programa može prekinuti televizijsko oglašavanje i/ili teletrgovina jednom za svako planirano razdoblje od najmanje trideset minuta, pod uvjetom da planirano trajanje programa bude dulje od 30 minuta. </w:t>
      </w:r>
      <w:r w:rsidR="00E25DEB">
        <w:rPr>
          <w:rFonts w:cs="Times New Roman"/>
          <w:sz w:val="22"/>
          <w:szCs w:val="22"/>
          <w:lang w:val="hr-HR"/>
        </w:rPr>
        <w:t xml:space="preserve">(...) </w:t>
      </w:r>
    </w:p>
    <w:p w14:paraId="1F855D98" w14:textId="77777777" w:rsidR="00515088" w:rsidRPr="00E25DEB" w:rsidRDefault="00515088" w:rsidP="00B42F90">
      <w:pPr>
        <w:widowControl w:val="0"/>
        <w:autoSpaceDE w:val="0"/>
        <w:autoSpaceDN w:val="0"/>
        <w:adjustRightInd w:val="0"/>
        <w:jc w:val="both"/>
        <w:rPr>
          <w:rFonts w:eastAsia="Arial Unicode MS" w:cs="Arial Unicode MS"/>
          <w:color w:val="343434"/>
          <w:sz w:val="22"/>
          <w:szCs w:val="22"/>
          <w:lang w:val="en-US"/>
        </w:rPr>
      </w:pPr>
    </w:p>
    <w:p w14:paraId="5A645B72" w14:textId="77777777" w:rsidR="00515088" w:rsidRPr="00E25DEB" w:rsidRDefault="00515088" w:rsidP="00B42F90">
      <w:pPr>
        <w:widowControl w:val="0"/>
        <w:autoSpaceDE w:val="0"/>
        <w:autoSpaceDN w:val="0"/>
        <w:adjustRightInd w:val="0"/>
        <w:jc w:val="both"/>
        <w:rPr>
          <w:rFonts w:eastAsia="Arial Unicode MS" w:cs="Arial Unicode MS"/>
          <w:color w:val="343434"/>
          <w:sz w:val="22"/>
          <w:szCs w:val="22"/>
          <w:lang w:val="en-US"/>
        </w:rPr>
      </w:pPr>
    </w:p>
    <w:p w14:paraId="74217938" w14:textId="77777777" w:rsidR="00FE2A95" w:rsidRPr="00E25DEB" w:rsidRDefault="00FE2A95" w:rsidP="00B42F90">
      <w:pPr>
        <w:widowControl w:val="0"/>
        <w:autoSpaceDE w:val="0"/>
        <w:autoSpaceDN w:val="0"/>
        <w:adjustRightInd w:val="0"/>
        <w:jc w:val="both"/>
        <w:rPr>
          <w:rFonts w:cs="Times New Roman"/>
          <w:iCs/>
          <w:color w:val="343434"/>
          <w:sz w:val="22"/>
          <w:szCs w:val="22"/>
          <w:lang w:val="hr-HR"/>
        </w:rPr>
      </w:pPr>
      <w:r w:rsidRPr="00E25DEB">
        <w:rPr>
          <w:rFonts w:cs="Times New Roman"/>
          <w:iCs/>
          <w:color w:val="343434"/>
          <w:sz w:val="22"/>
          <w:szCs w:val="22"/>
          <w:lang w:val="hr-HR"/>
        </w:rPr>
        <w:t>Povelja EU o ljudskim pravima i temeljenim slobodama</w:t>
      </w:r>
    </w:p>
    <w:p w14:paraId="4334441E" w14:textId="77777777" w:rsidR="00FE2A95" w:rsidRPr="00E25DEB" w:rsidRDefault="00FE2A95" w:rsidP="00B42F90">
      <w:pPr>
        <w:widowControl w:val="0"/>
        <w:autoSpaceDE w:val="0"/>
        <w:autoSpaceDN w:val="0"/>
        <w:adjustRightInd w:val="0"/>
        <w:jc w:val="both"/>
        <w:rPr>
          <w:rFonts w:cs="Times New Roman"/>
          <w:iCs/>
          <w:color w:val="343434"/>
          <w:sz w:val="22"/>
          <w:szCs w:val="22"/>
          <w:lang w:val="hr-HR"/>
        </w:rPr>
      </w:pPr>
    </w:p>
    <w:p w14:paraId="47260698" w14:textId="77777777" w:rsidR="00FE2A95" w:rsidRPr="00E25DEB" w:rsidRDefault="00FE2A95" w:rsidP="00B42F90">
      <w:pPr>
        <w:widowControl w:val="0"/>
        <w:autoSpaceDE w:val="0"/>
        <w:autoSpaceDN w:val="0"/>
        <w:adjustRightInd w:val="0"/>
        <w:jc w:val="both"/>
        <w:rPr>
          <w:rFonts w:cs="Times New Roman"/>
          <w:i/>
          <w:iCs/>
          <w:color w:val="343434"/>
          <w:sz w:val="22"/>
          <w:szCs w:val="22"/>
          <w:lang w:val="hr-HR"/>
        </w:rPr>
      </w:pPr>
      <w:r w:rsidRPr="00E25DEB">
        <w:rPr>
          <w:rFonts w:cs="Times New Roman"/>
          <w:i/>
          <w:iCs/>
          <w:color w:val="343434"/>
          <w:sz w:val="22"/>
          <w:szCs w:val="22"/>
          <w:lang w:val="hr-HR"/>
        </w:rPr>
        <w:t>Članak 24.</w:t>
      </w:r>
    </w:p>
    <w:p w14:paraId="18D7CAF0" w14:textId="77777777" w:rsidR="00FE2A95" w:rsidRPr="00E25DEB" w:rsidRDefault="00FE2A95" w:rsidP="00B42F90">
      <w:pPr>
        <w:widowControl w:val="0"/>
        <w:autoSpaceDE w:val="0"/>
        <w:autoSpaceDN w:val="0"/>
        <w:adjustRightInd w:val="0"/>
        <w:jc w:val="both"/>
        <w:rPr>
          <w:rFonts w:cs="Times New Roman"/>
          <w:bCs/>
          <w:color w:val="343434"/>
          <w:sz w:val="22"/>
          <w:szCs w:val="22"/>
          <w:lang w:val="hr-HR"/>
        </w:rPr>
      </w:pPr>
      <w:r w:rsidRPr="00E25DEB">
        <w:rPr>
          <w:rFonts w:cs="Times New Roman"/>
          <w:bCs/>
          <w:color w:val="343434"/>
          <w:sz w:val="22"/>
          <w:szCs w:val="22"/>
          <w:lang w:val="hr-HR"/>
        </w:rPr>
        <w:t>Prava djeteta</w:t>
      </w:r>
    </w:p>
    <w:p w14:paraId="29912B3C" w14:textId="77777777" w:rsidR="00FE2A95" w:rsidRPr="00E25DEB" w:rsidRDefault="00FE2A95" w:rsidP="00B42F90">
      <w:pPr>
        <w:widowControl w:val="0"/>
        <w:autoSpaceDE w:val="0"/>
        <w:autoSpaceDN w:val="0"/>
        <w:adjustRightInd w:val="0"/>
        <w:jc w:val="both"/>
        <w:rPr>
          <w:rFonts w:cs="Times New Roman"/>
          <w:color w:val="343434"/>
          <w:sz w:val="22"/>
          <w:szCs w:val="22"/>
          <w:lang w:val="hr-HR"/>
        </w:rPr>
      </w:pPr>
      <w:r w:rsidRPr="00E25DEB">
        <w:rPr>
          <w:rFonts w:cs="Times New Roman"/>
          <w:color w:val="343434"/>
          <w:sz w:val="22"/>
          <w:szCs w:val="22"/>
          <w:lang w:val="hr-HR"/>
        </w:rPr>
        <w:t>1.   Djeca imaju pravo na zaštitu i brigu koja je potrebna za njihovu dobrobit. Ona mogu slobodno izražavati svoje mišljenje. Njihovo se mišljenje uzima u obzir u pitanjima koja se na njih odnose, u skladu s njihovom dobi i zrelosti.</w:t>
      </w:r>
    </w:p>
    <w:p w14:paraId="413472AA" w14:textId="77777777" w:rsidR="00FE2A95" w:rsidRPr="00E25DEB" w:rsidRDefault="00FE2A95" w:rsidP="00B42F90">
      <w:pPr>
        <w:widowControl w:val="0"/>
        <w:autoSpaceDE w:val="0"/>
        <w:autoSpaceDN w:val="0"/>
        <w:adjustRightInd w:val="0"/>
        <w:jc w:val="both"/>
        <w:rPr>
          <w:rFonts w:cs="Times New Roman"/>
          <w:color w:val="343434"/>
          <w:sz w:val="22"/>
          <w:szCs w:val="22"/>
          <w:lang w:val="hr-HR"/>
        </w:rPr>
      </w:pPr>
      <w:r w:rsidRPr="00E25DEB">
        <w:rPr>
          <w:rFonts w:cs="Times New Roman"/>
          <w:color w:val="343434"/>
          <w:sz w:val="22"/>
          <w:szCs w:val="22"/>
          <w:lang w:val="hr-HR"/>
        </w:rPr>
        <w:t>2.   U svakom djelovanju koje se odnosi na djecu, bez obzira na to provode li ga tijela javne vlasti ili privatne institucije, primarni cilj mora biti zaštita interesa djeteta.</w:t>
      </w:r>
    </w:p>
    <w:p w14:paraId="141FC3BE" w14:textId="77777777" w:rsidR="00FE2A95" w:rsidRPr="00E25DEB" w:rsidRDefault="00FE2A95" w:rsidP="00B42F90">
      <w:pPr>
        <w:widowControl w:val="0"/>
        <w:autoSpaceDE w:val="0"/>
        <w:autoSpaceDN w:val="0"/>
        <w:adjustRightInd w:val="0"/>
        <w:jc w:val="both"/>
        <w:rPr>
          <w:rFonts w:cs="Times New Roman"/>
          <w:b/>
          <w:bCs/>
          <w:sz w:val="22"/>
          <w:szCs w:val="22"/>
          <w:lang w:val="hr-HR"/>
        </w:rPr>
      </w:pPr>
      <w:r w:rsidRPr="00E25DEB">
        <w:rPr>
          <w:rFonts w:cs="Times New Roman"/>
          <w:color w:val="343434"/>
          <w:sz w:val="22"/>
          <w:szCs w:val="22"/>
          <w:lang w:val="hr-HR"/>
        </w:rPr>
        <w:t>3.   Svako dijete ima pravo na održavanje redovitog osobnog odnosa i izravan kontakt s oba roditelja, osim ako je to u suprotnosti s njegovim interesima.</w:t>
      </w:r>
    </w:p>
    <w:p w14:paraId="2D40F44D" w14:textId="77777777" w:rsidR="00EA50A3" w:rsidRPr="00E25DEB" w:rsidRDefault="00EA50A3" w:rsidP="00B42F90">
      <w:pPr>
        <w:jc w:val="both"/>
        <w:rPr>
          <w:sz w:val="22"/>
          <w:szCs w:val="22"/>
        </w:rPr>
      </w:pPr>
    </w:p>
    <w:p w14:paraId="2FE909D6" w14:textId="77777777" w:rsidR="00EA50A3" w:rsidRPr="00E25DEB" w:rsidRDefault="00EA50A3" w:rsidP="00B42F90">
      <w:pPr>
        <w:jc w:val="both"/>
        <w:rPr>
          <w:sz w:val="22"/>
          <w:szCs w:val="22"/>
        </w:rPr>
      </w:pPr>
    </w:p>
    <w:p w14:paraId="448B082F" w14:textId="00F01326" w:rsidR="00EA50A3" w:rsidRDefault="00EA50A3" w:rsidP="00B42F90">
      <w:pPr>
        <w:jc w:val="both"/>
        <w:rPr>
          <w:sz w:val="22"/>
          <w:szCs w:val="22"/>
          <w:lang w:val="hr-HR"/>
        </w:rPr>
      </w:pPr>
      <w:r w:rsidRPr="00E25DEB">
        <w:rPr>
          <w:sz w:val="22"/>
          <w:szCs w:val="22"/>
          <w:lang w:val="hr-HR"/>
        </w:rPr>
        <w:t>Pitanja:</w:t>
      </w:r>
    </w:p>
    <w:p w14:paraId="5486699A" w14:textId="77777777" w:rsidR="00D8675C" w:rsidRPr="00E25DEB" w:rsidRDefault="00D8675C" w:rsidP="00B42F90">
      <w:pPr>
        <w:jc w:val="both"/>
        <w:rPr>
          <w:sz w:val="22"/>
          <w:szCs w:val="22"/>
          <w:lang w:val="hr-HR"/>
        </w:rPr>
      </w:pPr>
    </w:p>
    <w:p w14:paraId="78E22941" w14:textId="08E1D783" w:rsidR="00EA50A3" w:rsidRPr="00E25DEB" w:rsidRDefault="00EA50A3" w:rsidP="00B42F90">
      <w:pPr>
        <w:jc w:val="both"/>
        <w:rPr>
          <w:sz w:val="22"/>
          <w:szCs w:val="22"/>
          <w:lang w:val="hr-HR"/>
        </w:rPr>
      </w:pPr>
      <w:r w:rsidRPr="00E25DEB">
        <w:rPr>
          <w:sz w:val="22"/>
          <w:szCs w:val="22"/>
          <w:lang w:val="hr-HR"/>
        </w:rPr>
        <w:t>1. Može li se Udruga roditelja pred sudom Klauzije izravno pozvati na direktivu u sporu protiv Leptirić TV?</w:t>
      </w:r>
      <w:r w:rsidR="00D8675C">
        <w:rPr>
          <w:sz w:val="22"/>
          <w:szCs w:val="22"/>
          <w:lang w:val="hr-HR"/>
        </w:rPr>
        <w:t xml:space="preserve"> </w:t>
      </w:r>
      <w:r w:rsidRPr="00E25DEB">
        <w:rPr>
          <w:sz w:val="22"/>
          <w:szCs w:val="22"/>
          <w:lang w:val="hr-HR"/>
        </w:rPr>
        <w:t>Zašto? Navedite relevantnu sudsku praksu i argumente koji su kroz nju razvijeni.</w:t>
      </w:r>
    </w:p>
    <w:p w14:paraId="3CA50639" w14:textId="77777777" w:rsidR="00D8675C" w:rsidRDefault="00D8675C" w:rsidP="00B42F90">
      <w:pPr>
        <w:jc w:val="both"/>
        <w:rPr>
          <w:sz w:val="22"/>
          <w:szCs w:val="22"/>
          <w:lang w:val="hr-HR"/>
        </w:rPr>
      </w:pPr>
    </w:p>
    <w:p w14:paraId="06FCF470" w14:textId="438E24E1" w:rsidR="00EA50A3" w:rsidRDefault="00EA50A3" w:rsidP="00B42F90">
      <w:pPr>
        <w:jc w:val="both"/>
        <w:rPr>
          <w:sz w:val="22"/>
          <w:szCs w:val="22"/>
          <w:lang w:val="hr-HR"/>
        </w:rPr>
      </w:pPr>
      <w:r w:rsidRPr="00E25DEB">
        <w:rPr>
          <w:sz w:val="22"/>
          <w:szCs w:val="22"/>
          <w:lang w:val="hr-HR"/>
        </w:rPr>
        <w:t>2. Može li Udruzi roditelja u sporu pomoći koncept incidentalnog učinka?</w:t>
      </w:r>
      <w:r w:rsidR="00BE38B1" w:rsidRPr="00E25DEB">
        <w:rPr>
          <w:sz w:val="22"/>
          <w:szCs w:val="22"/>
          <w:lang w:val="hr-HR"/>
        </w:rPr>
        <w:t xml:space="preserve"> Zašto?</w:t>
      </w:r>
    </w:p>
    <w:p w14:paraId="3F29AB7F" w14:textId="77777777" w:rsidR="00D8675C" w:rsidRPr="00E25DEB" w:rsidRDefault="00D8675C" w:rsidP="00B42F90">
      <w:pPr>
        <w:jc w:val="both"/>
        <w:rPr>
          <w:sz w:val="22"/>
          <w:szCs w:val="22"/>
          <w:lang w:val="hr-HR"/>
        </w:rPr>
      </w:pPr>
    </w:p>
    <w:p w14:paraId="14AF167A" w14:textId="3F39A0E0" w:rsidR="00EA50A3" w:rsidRPr="00B70A49" w:rsidRDefault="00EA50A3" w:rsidP="00B42F90">
      <w:pPr>
        <w:jc w:val="both"/>
        <w:rPr>
          <w:sz w:val="22"/>
          <w:szCs w:val="22"/>
          <w:lang w:val="hr-HR"/>
        </w:rPr>
      </w:pPr>
      <w:r w:rsidRPr="00E25DEB">
        <w:rPr>
          <w:sz w:val="22"/>
          <w:szCs w:val="22"/>
          <w:lang w:val="hr-HR"/>
        </w:rPr>
        <w:t>3. Može li Udruzi roditelja pomoći sudska praksa koja se počela razvijati s predmetom Mangold?</w:t>
      </w:r>
      <w:r w:rsidR="00BE38B1" w:rsidRPr="00E25DEB">
        <w:rPr>
          <w:sz w:val="22"/>
          <w:szCs w:val="22"/>
          <w:lang w:val="hr-HR"/>
        </w:rPr>
        <w:t xml:space="preserve"> Sročite argument koji biste u tom smislu podnijeli sudu.</w:t>
      </w:r>
      <w:r w:rsidR="00B603BB">
        <w:rPr>
          <w:sz w:val="22"/>
          <w:szCs w:val="22"/>
          <w:lang w:val="hr-HR"/>
        </w:rPr>
        <w:t xml:space="preserve"> Mijenja li predmet AMS vaš odgovor?</w:t>
      </w:r>
      <w:bookmarkStart w:id="0" w:name="_GoBack"/>
      <w:bookmarkEnd w:id="0"/>
    </w:p>
    <w:sectPr w:rsidR="00EA50A3" w:rsidRPr="00B70A49" w:rsidSect="004544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96426"/>
    <w:multiLevelType w:val="hybridMultilevel"/>
    <w:tmpl w:val="C238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88"/>
    <w:rsid w:val="00063D99"/>
    <w:rsid w:val="003963CD"/>
    <w:rsid w:val="00454470"/>
    <w:rsid w:val="00515088"/>
    <w:rsid w:val="006B5580"/>
    <w:rsid w:val="0070553C"/>
    <w:rsid w:val="008F4931"/>
    <w:rsid w:val="009F2F10"/>
    <w:rsid w:val="00B42F90"/>
    <w:rsid w:val="00B603BB"/>
    <w:rsid w:val="00B70A49"/>
    <w:rsid w:val="00BE38B1"/>
    <w:rsid w:val="00D8675C"/>
    <w:rsid w:val="00E25DEB"/>
    <w:rsid w:val="00E62E90"/>
    <w:rsid w:val="00EA50A3"/>
    <w:rsid w:val="00FE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EE3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434</Words>
  <Characters>2476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Capeta</dc:creator>
  <cp:keywords/>
  <dc:description/>
  <cp:lastModifiedBy>Tamara Capeta</cp:lastModifiedBy>
  <cp:revision>12</cp:revision>
  <dcterms:created xsi:type="dcterms:W3CDTF">2015-11-30T19:01:00Z</dcterms:created>
  <dcterms:modified xsi:type="dcterms:W3CDTF">2015-12-01T09:42:00Z</dcterms:modified>
</cp:coreProperties>
</file>