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C73D95" w14:textId="77777777" w:rsidR="00D30E72" w:rsidRPr="002C153E" w:rsidRDefault="00527035" w:rsidP="002C153E">
      <w:p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03F6AD" wp14:editId="761B1B18">
                <wp:simplePos x="0" y="0"/>
                <wp:positionH relativeFrom="column">
                  <wp:posOffset>457835</wp:posOffset>
                </wp:positionH>
                <wp:positionV relativeFrom="paragraph">
                  <wp:posOffset>113665</wp:posOffset>
                </wp:positionV>
                <wp:extent cx="5142230" cy="800100"/>
                <wp:effectExtent l="0" t="0" r="13970" b="381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223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7C18C" w14:textId="77777777" w:rsidR="00527035" w:rsidRPr="002C153E" w:rsidRDefault="00544142" w:rsidP="00527035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</w:pP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Odgovornost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države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za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štetu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u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pravu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527035"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Unije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="00E44DC7"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kratki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pregled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sudske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prakse</w:t>
                            </w:r>
                            <w:proofErr w:type="spellEnd"/>
                          </w:p>
                          <w:p w14:paraId="41A8B7DB" w14:textId="77777777" w:rsidR="00527035" w:rsidRPr="002C153E" w:rsidRDefault="00527035" w:rsidP="00527035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</w:pPr>
                          </w:p>
                          <w:p w14:paraId="00A2158B" w14:textId="77777777" w:rsidR="00527035" w:rsidRPr="002C153E" w:rsidRDefault="00527035" w:rsidP="00527035">
                            <w:pPr>
                              <w:pStyle w:val="Heading3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</w:pPr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 xml:space="preserve">Tamara </w:t>
                            </w:r>
                            <w:proofErr w:type="spellStart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Ćapeta</w:t>
                            </w:r>
                            <w:proofErr w:type="spellEnd"/>
                            <w:r w:rsidRPr="002C153E">
                              <w:rPr>
                                <w:rFonts w:asciiTheme="minorHAnsi" w:hAnsiTheme="minorHAnsi"/>
                                <w:b/>
                                <w:bCs/>
                                <w:u w:val="none"/>
                                <w:lang w:val="en-GB"/>
                              </w:rPr>
                              <w:t>, 2015.</w:t>
                            </w:r>
                          </w:p>
                          <w:p w14:paraId="65213436" w14:textId="77777777" w:rsidR="00527035" w:rsidRDefault="00527035" w:rsidP="00527035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  <w:u w:val="none"/>
                                <w:lang w:val="en-GB"/>
                              </w:rPr>
                            </w:pPr>
                          </w:p>
                          <w:p w14:paraId="45DCD6BB" w14:textId="77777777" w:rsidR="00D30E72" w:rsidRPr="00E338D9" w:rsidRDefault="00D30E72" w:rsidP="00527035">
                            <w:pPr>
                              <w:pStyle w:val="Heading3"/>
                              <w:jc w:val="center"/>
                              <w:rPr>
                                <w:b/>
                                <w:bCs/>
                                <w:u w:val="none"/>
                                <w:lang w:val="en-GB"/>
                              </w:rPr>
                            </w:pPr>
                          </w:p>
                          <w:p w14:paraId="4426A471" w14:textId="77777777" w:rsidR="00D30E72" w:rsidRDefault="00D30E72" w:rsidP="0052703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03F6AD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36.05pt;margin-top:8.95pt;width:404.9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">
                <v:textbox>
                  <w:txbxContent>
                    <w:p w14:paraId="0057C18C" w14:textId="77777777" w:rsidR="00527035" w:rsidRPr="002C153E" w:rsidRDefault="00544142" w:rsidP="00527035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</w:pP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Odgovornost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države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za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štetu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u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pravu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="00527035"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Unije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</w:t>
                      </w:r>
                      <w:r w:rsidR="00E44DC7"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–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kratki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pregled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sudske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prakse</w:t>
                      </w:r>
                      <w:proofErr w:type="spellEnd"/>
                    </w:p>
                    <w:p w14:paraId="41A8B7DB" w14:textId="77777777" w:rsidR="00527035" w:rsidRPr="002C153E" w:rsidRDefault="00527035" w:rsidP="00527035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</w:pPr>
                    </w:p>
                    <w:p w14:paraId="00A2158B" w14:textId="77777777" w:rsidR="00527035" w:rsidRPr="002C153E" w:rsidRDefault="00527035" w:rsidP="00527035">
                      <w:pPr>
                        <w:pStyle w:val="Heading3"/>
                        <w:jc w:val="center"/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</w:pPr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 xml:space="preserve">Tamara </w:t>
                      </w:r>
                      <w:proofErr w:type="spellStart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Ćapeta</w:t>
                      </w:r>
                      <w:proofErr w:type="spellEnd"/>
                      <w:r w:rsidRPr="002C153E">
                        <w:rPr>
                          <w:rFonts w:asciiTheme="minorHAnsi" w:hAnsiTheme="minorHAnsi"/>
                          <w:b/>
                          <w:bCs/>
                          <w:u w:val="none"/>
                          <w:lang w:val="en-GB"/>
                        </w:rPr>
                        <w:t>, 2015.</w:t>
                      </w:r>
                    </w:p>
                    <w:p w14:paraId="65213436" w14:textId="77777777" w:rsidR="00527035" w:rsidRDefault="00527035" w:rsidP="00527035">
                      <w:pPr>
                        <w:pStyle w:val="Heading3"/>
                        <w:jc w:val="center"/>
                        <w:rPr>
                          <w:b/>
                          <w:bCs/>
                          <w:u w:val="none"/>
                          <w:lang w:val="en-GB"/>
                        </w:rPr>
                      </w:pPr>
                    </w:p>
                    <w:p w14:paraId="45DCD6BB" w14:textId="77777777" w:rsidR="00D30E72" w:rsidRPr="00E338D9" w:rsidRDefault="00D30E72" w:rsidP="00527035">
                      <w:pPr>
                        <w:pStyle w:val="Heading3"/>
                        <w:jc w:val="center"/>
                        <w:rPr>
                          <w:b/>
                          <w:bCs/>
                          <w:u w:val="none"/>
                          <w:lang w:val="en-GB"/>
                        </w:rPr>
                      </w:pPr>
                    </w:p>
                    <w:p w14:paraId="4426A471" w14:textId="77777777" w:rsidR="00D30E72" w:rsidRDefault="00D30E72" w:rsidP="00527035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0925EC4" w14:textId="77777777" w:rsidR="00D30E72" w:rsidRPr="002C153E" w:rsidRDefault="00D30E72" w:rsidP="002C153E">
      <w:pPr>
        <w:jc w:val="both"/>
        <w:rPr>
          <w:rFonts w:asciiTheme="minorHAnsi" w:hAnsiTheme="minorHAnsi"/>
          <w:lang w:val="hr-BA"/>
        </w:rPr>
      </w:pPr>
    </w:p>
    <w:p w14:paraId="5A4A2C50" w14:textId="77777777" w:rsidR="00D30E72" w:rsidRPr="002C153E" w:rsidRDefault="00D30E72" w:rsidP="002C153E">
      <w:pPr>
        <w:jc w:val="both"/>
        <w:rPr>
          <w:rFonts w:asciiTheme="minorHAnsi" w:hAnsiTheme="minorHAnsi"/>
          <w:lang w:val="hr-BA"/>
        </w:rPr>
      </w:pPr>
    </w:p>
    <w:p w14:paraId="6A92F238" w14:textId="77777777" w:rsidR="00D30E72" w:rsidRPr="002C153E" w:rsidRDefault="00D30E72" w:rsidP="002C153E">
      <w:pPr>
        <w:jc w:val="both"/>
        <w:rPr>
          <w:rFonts w:asciiTheme="minorHAnsi" w:hAnsiTheme="minorHAnsi"/>
          <w:lang w:val="hr-BA"/>
        </w:rPr>
      </w:pPr>
      <w:bookmarkStart w:id="0" w:name="_GoBack"/>
      <w:bookmarkEnd w:id="0"/>
    </w:p>
    <w:p w14:paraId="22634389" w14:textId="77777777" w:rsidR="00D30E72" w:rsidRPr="002C153E" w:rsidRDefault="00D30E72" w:rsidP="002C153E">
      <w:pPr>
        <w:jc w:val="both"/>
        <w:rPr>
          <w:rFonts w:asciiTheme="minorHAnsi" w:hAnsiTheme="minorHAnsi"/>
          <w:lang w:val="hr-BA"/>
        </w:rPr>
      </w:pPr>
    </w:p>
    <w:p w14:paraId="5522958B" w14:textId="77777777" w:rsidR="00D30E72" w:rsidRPr="002C153E" w:rsidRDefault="00D30E72" w:rsidP="002C153E">
      <w:pPr>
        <w:jc w:val="both"/>
        <w:rPr>
          <w:rFonts w:asciiTheme="minorHAnsi" w:hAnsiTheme="minorHAnsi"/>
          <w:lang w:val="hr-BA"/>
        </w:rPr>
      </w:pPr>
    </w:p>
    <w:p w14:paraId="2ACFC6DF" w14:textId="77777777" w:rsidR="00031F6B" w:rsidRPr="002C153E" w:rsidRDefault="00031F6B" w:rsidP="002C153E">
      <w:pPr>
        <w:numPr>
          <w:ilvl w:val="0"/>
          <w:numId w:val="4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Načelo odgovornosti države za štetu uspostavjeno je u spojenim predmetima </w:t>
      </w:r>
      <w:r w:rsidR="00D30E72" w:rsidRPr="002C153E">
        <w:rPr>
          <w:rFonts w:asciiTheme="minorHAnsi" w:hAnsiTheme="minorHAnsi"/>
          <w:lang w:val="hr-BA"/>
        </w:rPr>
        <w:t xml:space="preserve">C-6 and 9/90 </w:t>
      </w:r>
      <w:r w:rsidR="00D30E72" w:rsidRPr="002C153E">
        <w:rPr>
          <w:rFonts w:asciiTheme="minorHAnsi" w:hAnsiTheme="minorHAnsi"/>
          <w:i/>
          <w:lang w:val="hr-BA"/>
        </w:rPr>
        <w:t>Francovich</w:t>
      </w:r>
      <w:r w:rsidRPr="002C153E">
        <w:rPr>
          <w:rFonts w:asciiTheme="minorHAnsi" w:hAnsiTheme="minorHAnsi"/>
          <w:i/>
          <w:lang w:val="hr-BA"/>
        </w:rPr>
        <w:t xml:space="preserve"> i Bonifaci</w:t>
      </w:r>
      <w:r w:rsidR="00D30E72" w:rsidRPr="002C153E">
        <w:rPr>
          <w:rFonts w:asciiTheme="minorHAnsi" w:hAnsiTheme="minorHAnsi"/>
          <w:lang w:val="hr-BA"/>
        </w:rPr>
        <w:t xml:space="preserve">; </w:t>
      </w:r>
    </w:p>
    <w:p w14:paraId="000D1688" w14:textId="77777777" w:rsidR="00D30E72" w:rsidRPr="002C153E" w:rsidRDefault="00031F6B" w:rsidP="002C153E">
      <w:pPr>
        <w:numPr>
          <w:ilvl w:val="0"/>
          <w:numId w:val="4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Uspostavljeno je u uvjetima neprecizne direktive (koja iz tog razloga nije imala izravni učinak) </w:t>
      </w:r>
    </w:p>
    <w:p w14:paraId="112617C1" w14:textId="03085CDC" w:rsidR="00D30E72" w:rsidRPr="002C153E" w:rsidRDefault="00031F6B" w:rsidP="002C153E">
      <w:pPr>
        <w:numPr>
          <w:ilvl w:val="0"/>
          <w:numId w:val="4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Odgovornost države postoji, međutim, ne samo zbog neprovedbe direktive </w:t>
      </w:r>
      <w:r w:rsidR="009E554C" w:rsidRPr="002C153E">
        <w:rPr>
          <w:rFonts w:asciiTheme="minorHAnsi" w:hAnsiTheme="minorHAnsi"/>
          <w:lang w:val="hr-BA"/>
        </w:rPr>
        <w:t xml:space="preserve">koja nema izravni učinak, </w:t>
      </w:r>
      <w:r w:rsidRPr="002C153E">
        <w:rPr>
          <w:rFonts w:asciiTheme="minorHAnsi" w:hAnsiTheme="minorHAnsi"/>
          <w:lang w:val="hr-BA"/>
        </w:rPr>
        <w:t xml:space="preserve">već </w:t>
      </w:r>
      <w:r w:rsidR="00F12A64" w:rsidRPr="002C153E">
        <w:rPr>
          <w:rFonts w:asciiTheme="minorHAnsi" w:hAnsiTheme="minorHAnsi"/>
          <w:lang w:val="hr-BA"/>
        </w:rPr>
        <w:t>i</w:t>
      </w:r>
      <w:r w:rsidRPr="002C153E">
        <w:rPr>
          <w:rFonts w:asciiTheme="minorHAnsi" w:hAnsiTheme="minorHAnsi"/>
          <w:lang w:val="hr-BA"/>
        </w:rPr>
        <w:t xml:space="preserve"> zbog povrede prava </w:t>
      </w:r>
      <w:r w:rsidR="00312835" w:rsidRPr="002C153E">
        <w:rPr>
          <w:rFonts w:asciiTheme="minorHAnsi" w:hAnsiTheme="minorHAnsi"/>
          <w:lang w:val="hr-BA"/>
        </w:rPr>
        <w:t>Unije</w:t>
      </w:r>
      <w:r w:rsidRPr="002C153E">
        <w:rPr>
          <w:rFonts w:asciiTheme="minorHAnsi" w:hAnsiTheme="minorHAnsi"/>
          <w:lang w:val="hr-BA"/>
        </w:rPr>
        <w:t xml:space="preserve"> koje ima izravni učinak </w:t>
      </w:r>
      <w:r w:rsidR="00D30E72" w:rsidRPr="002C153E">
        <w:rPr>
          <w:rFonts w:asciiTheme="minorHAnsi" w:hAnsiTheme="minorHAnsi"/>
          <w:lang w:val="hr-BA"/>
        </w:rPr>
        <w:t xml:space="preserve">(C-46 and 48/93 </w:t>
      </w:r>
      <w:r w:rsidR="00D30E72" w:rsidRPr="002C153E">
        <w:rPr>
          <w:rFonts w:asciiTheme="minorHAnsi" w:hAnsiTheme="minorHAnsi"/>
          <w:i/>
          <w:lang w:val="hr-BA"/>
        </w:rPr>
        <w:t>Brasserie du Pêcheurs/Factortame III</w:t>
      </w:r>
      <w:r w:rsidR="00D30E72" w:rsidRPr="002C153E">
        <w:rPr>
          <w:rFonts w:asciiTheme="minorHAnsi" w:hAnsiTheme="minorHAnsi"/>
          <w:lang w:val="hr-BA"/>
        </w:rPr>
        <w:t>)</w:t>
      </w:r>
    </w:p>
    <w:p w14:paraId="7D6A115D" w14:textId="72DF1898" w:rsidR="00D30E72" w:rsidRPr="002C153E" w:rsidRDefault="0084348F" w:rsidP="002C153E">
      <w:pPr>
        <w:numPr>
          <w:ilvl w:val="0"/>
          <w:numId w:val="4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Sva tijela države mogu uzrokovati odgovornost države za štetu </w:t>
      </w:r>
      <w:r w:rsidR="00E44DC7" w:rsidRPr="002C153E">
        <w:rPr>
          <w:rFonts w:asciiTheme="minorHAnsi" w:hAnsiTheme="minorHAnsi"/>
          <w:lang w:val="hr-BA"/>
        </w:rPr>
        <w:t>(</w:t>
      </w:r>
      <w:r w:rsidRPr="002C153E">
        <w:rPr>
          <w:rFonts w:asciiTheme="minorHAnsi" w:hAnsiTheme="minorHAnsi"/>
          <w:lang w:val="hr-BA"/>
        </w:rPr>
        <w:t>uključujući sudove</w:t>
      </w:r>
      <w:r w:rsidR="00E44DC7" w:rsidRPr="002C153E">
        <w:rPr>
          <w:rFonts w:asciiTheme="minorHAnsi" w:hAnsiTheme="minorHAnsi"/>
          <w:lang w:val="hr-BA"/>
        </w:rPr>
        <w:t xml:space="preserve">, </w:t>
      </w:r>
      <w:r w:rsidRPr="002C153E">
        <w:rPr>
          <w:rFonts w:asciiTheme="minorHAnsi" w:hAnsiTheme="minorHAnsi"/>
          <w:lang w:val="hr-BA"/>
        </w:rPr>
        <w:t xml:space="preserve">predmet </w:t>
      </w:r>
      <w:r w:rsidR="00312835" w:rsidRPr="002C153E">
        <w:rPr>
          <w:rFonts w:asciiTheme="minorHAnsi" w:hAnsiTheme="minorHAnsi"/>
          <w:lang w:val="hr-BA"/>
        </w:rPr>
        <w:t xml:space="preserve">C-224/01 </w:t>
      </w:r>
      <w:r w:rsidR="00E44DC7" w:rsidRPr="002C153E">
        <w:rPr>
          <w:rFonts w:asciiTheme="minorHAnsi" w:hAnsiTheme="minorHAnsi"/>
          <w:i/>
          <w:lang w:val="hr-BA"/>
        </w:rPr>
        <w:t>K</w:t>
      </w:r>
      <w:r w:rsidR="00BC1EB4" w:rsidRPr="002C153E">
        <w:rPr>
          <w:rFonts w:asciiTheme="minorHAnsi" w:hAnsiTheme="minorHAnsi"/>
          <w:i/>
          <w:lang w:val="hr-BA"/>
        </w:rPr>
        <w:t>ö</w:t>
      </w:r>
      <w:r w:rsidR="00E44DC7" w:rsidRPr="002C153E">
        <w:rPr>
          <w:rFonts w:asciiTheme="minorHAnsi" w:hAnsiTheme="minorHAnsi"/>
          <w:i/>
          <w:lang w:val="hr-BA"/>
        </w:rPr>
        <w:t>bler</w:t>
      </w:r>
      <w:r w:rsidR="00E44DC7" w:rsidRPr="002C153E">
        <w:rPr>
          <w:rFonts w:asciiTheme="minorHAnsi" w:hAnsiTheme="minorHAnsi"/>
          <w:lang w:val="hr-BA"/>
        </w:rPr>
        <w:t>)</w:t>
      </w:r>
    </w:p>
    <w:p w14:paraId="69292ADE" w14:textId="77777777" w:rsidR="00D30E72" w:rsidRPr="002C153E" w:rsidRDefault="007F5FC1" w:rsidP="002C153E">
      <w:pPr>
        <w:numPr>
          <w:ilvl w:val="0"/>
          <w:numId w:val="4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Jednako tako, sve razine države – centralna/federalna, decentralizirana/federalne jedinice također mogu uzrokovati odgovornost države </w:t>
      </w:r>
      <w:r w:rsidR="00D30E72" w:rsidRPr="002C153E">
        <w:rPr>
          <w:rFonts w:asciiTheme="minorHAnsi" w:hAnsiTheme="minorHAnsi"/>
          <w:lang w:val="hr-BA"/>
        </w:rPr>
        <w:t xml:space="preserve">(C-302/97 </w:t>
      </w:r>
      <w:r w:rsidR="00D30E72" w:rsidRPr="002C153E">
        <w:rPr>
          <w:rFonts w:asciiTheme="minorHAnsi" w:hAnsiTheme="minorHAnsi"/>
          <w:i/>
          <w:lang w:val="hr-BA"/>
        </w:rPr>
        <w:t>Konle</w:t>
      </w:r>
      <w:r w:rsidR="00D30E72" w:rsidRPr="002C153E">
        <w:rPr>
          <w:rFonts w:asciiTheme="minorHAnsi" w:hAnsiTheme="minorHAnsi"/>
          <w:lang w:val="hr-BA"/>
        </w:rPr>
        <w:t xml:space="preserve">; C-424/97 </w:t>
      </w:r>
      <w:r w:rsidR="00D30E72" w:rsidRPr="002C153E">
        <w:rPr>
          <w:rFonts w:asciiTheme="minorHAnsi" w:hAnsiTheme="minorHAnsi"/>
          <w:i/>
          <w:lang w:val="hr-BA"/>
        </w:rPr>
        <w:t>Haim</w:t>
      </w:r>
      <w:r w:rsidR="00D30E72" w:rsidRPr="002C153E">
        <w:rPr>
          <w:rFonts w:asciiTheme="minorHAnsi" w:hAnsiTheme="minorHAnsi"/>
          <w:lang w:val="hr-BA"/>
        </w:rPr>
        <w:t>)</w:t>
      </w:r>
    </w:p>
    <w:p w14:paraId="6B5E67AE" w14:textId="77777777" w:rsidR="00D30E72" w:rsidRPr="002C153E" w:rsidRDefault="00D30E72" w:rsidP="002C153E">
      <w:pPr>
        <w:ind w:left="360"/>
        <w:jc w:val="both"/>
        <w:rPr>
          <w:rFonts w:asciiTheme="minorHAnsi" w:hAnsiTheme="minorHAnsi"/>
          <w:lang w:val="hr-BA"/>
        </w:rPr>
      </w:pPr>
    </w:p>
    <w:p w14:paraId="1FBC60AB" w14:textId="77777777" w:rsidR="00D30E72" w:rsidRPr="002C153E" w:rsidRDefault="002B1B99" w:rsidP="002C153E">
      <w:pPr>
        <w:numPr>
          <w:ilvl w:val="0"/>
          <w:numId w:val="6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Uvjeti za nastanak odgovornosti: </w:t>
      </w:r>
    </w:p>
    <w:p w14:paraId="18D54DAD" w14:textId="77777777" w:rsidR="00D30E72" w:rsidRPr="002C153E" w:rsidRDefault="002B1B99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>Pravna norma do čije je povrede došlo ima za svrhu uspostavu subjektivnog prava za pojedince</w:t>
      </w:r>
      <w:r w:rsidR="00D30E72" w:rsidRPr="002C153E">
        <w:rPr>
          <w:rFonts w:asciiTheme="minorHAnsi" w:hAnsiTheme="minorHAnsi"/>
          <w:lang w:val="hr-BA"/>
        </w:rPr>
        <w:t>;</w:t>
      </w:r>
    </w:p>
    <w:p w14:paraId="4A119940" w14:textId="739BBEFB" w:rsidR="00D30E72" w:rsidRPr="002C153E" w:rsidRDefault="002B1B99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>Mora biti moguće identificirati sadržaj tih prava temeljem odredbe u pitanju</w:t>
      </w:r>
      <w:r w:rsidR="00D30E72" w:rsidRPr="002C153E">
        <w:rPr>
          <w:rFonts w:asciiTheme="minorHAnsi" w:hAnsiTheme="minorHAnsi"/>
          <w:lang w:val="hr-BA"/>
        </w:rPr>
        <w:t>;</w:t>
      </w:r>
    </w:p>
    <w:p w14:paraId="2030F6F5" w14:textId="77777777" w:rsidR="00D30E72" w:rsidRPr="002C153E" w:rsidRDefault="002B1B99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>Povreda mora biti dovoljno ozbiljna</w:t>
      </w:r>
      <w:r w:rsidR="00D30E72" w:rsidRPr="002C153E">
        <w:rPr>
          <w:rFonts w:asciiTheme="minorHAnsi" w:hAnsiTheme="minorHAnsi"/>
          <w:lang w:val="hr-BA"/>
        </w:rPr>
        <w:t xml:space="preserve">; </w:t>
      </w:r>
    </w:p>
    <w:p w14:paraId="117ECC28" w14:textId="77777777" w:rsidR="00D30E72" w:rsidRPr="002C153E" w:rsidRDefault="00536CA8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>Mora postojati izravna uzročna veza između povrede obveze od strane države i štete nastale za povrijeđenu stranku</w:t>
      </w:r>
      <w:r w:rsidR="00D30E72" w:rsidRPr="002C153E">
        <w:rPr>
          <w:rFonts w:asciiTheme="minorHAnsi" w:hAnsiTheme="minorHAnsi"/>
          <w:lang w:val="hr-BA"/>
        </w:rPr>
        <w:t>.</w:t>
      </w:r>
    </w:p>
    <w:p w14:paraId="486AC205" w14:textId="77777777" w:rsidR="00D30E72" w:rsidRPr="002C153E" w:rsidRDefault="00D30E72" w:rsidP="002C153E">
      <w:pPr>
        <w:jc w:val="both"/>
        <w:rPr>
          <w:rFonts w:asciiTheme="minorHAnsi" w:hAnsiTheme="minorHAnsi"/>
          <w:lang w:val="hr-BA"/>
        </w:rPr>
      </w:pPr>
    </w:p>
    <w:p w14:paraId="42A20917" w14:textId="77777777" w:rsidR="00D30E72" w:rsidRPr="002C153E" w:rsidRDefault="00536CA8" w:rsidP="002C153E">
      <w:pPr>
        <w:numPr>
          <w:ilvl w:val="0"/>
          <w:numId w:val="8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Drugi uvjet – spominje se samo u predmetu </w:t>
      </w:r>
      <w:r w:rsidRPr="002C153E">
        <w:rPr>
          <w:rFonts w:asciiTheme="minorHAnsi" w:hAnsiTheme="minorHAnsi"/>
          <w:i/>
          <w:lang w:val="hr-BA"/>
        </w:rPr>
        <w:t>Francovich</w:t>
      </w:r>
      <w:r w:rsidRPr="002C153E">
        <w:rPr>
          <w:rFonts w:asciiTheme="minorHAnsi" w:hAnsiTheme="minorHAnsi"/>
          <w:lang w:val="hr-BA"/>
        </w:rPr>
        <w:t xml:space="preserve"> </w:t>
      </w:r>
    </w:p>
    <w:p w14:paraId="5D4397F0" w14:textId="77777777" w:rsidR="00D30E72" w:rsidRPr="002C153E" w:rsidRDefault="00536CA8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Implicitan je, međutim, i u ostalim slučajevima. Radi se zapravo o uvjetu za procesni izravni učinak normi bez kojeg sudovi ne mogu primijenjivati neku normu. Razlog njegova nespominjanja u drugim predmetima jest taj što se radilo o povredi prava s izravnim učinkom, što automatski znači ostvarenje tog uvjeta  </w:t>
      </w:r>
    </w:p>
    <w:p w14:paraId="0528B133" w14:textId="77777777" w:rsidR="00536CA8" w:rsidRPr="002C153E" w:rsidRDefault="00536CA8" w:rsidP="002C153E">
      <w:pPr>
        <w:ind w:left="1080"/>
        <w:jc w:val="both"/>
        <w:rPr>
          <w:rFonts w:asciiTheme="minorHAnsi" w:hAnsiTheme="minorHAnsi"/>
          <w:lang w:val="hr-BA"/>
        </w:rPr>
      </w:pPr>
    </w:p>
    <w:p w14:paraId="0522B14C" w14:textId="77777777" w:rsidR="00D30E72" w:rsidRPr="002C153E" w:rsidRDefault="00123EE4" w:rsidP="002C153E">
      <w:pPr>
        <w:numPr>
          <w:ilvl w:val="0"/>
          <w:numId w:val="10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Dovoljno ozbiljna povreda </w:t>
      </w:r>
      <w:r w:rsidR="00D30E72" w:rsidRPr="002C153E">
        <w:rPr>
          <w:rFonts w:asciiTheme="minorHAnsi" w:hAnsiTheme="minorHAnsi"/>
          <w:lang w:val="hr-BA"/>
        </w:rPr>
        <w:t xml:space="preserve"> </w:t>
      </w:r>
    </w:p>
    <w:p w14:paraId="1EF853D4" w14:textId="7EC8C7D5" w:rsidR="00D30E72" w:rsidRPr="002C153E" w:rsidRDefault="00123EE4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Uvjet koji se postavlja također i za nastanak odgovornosti institucija </w:t>
      </w:r>
      <w:r w:rsidR="00CD4BD8" w:rsidRPr="002C153E">
        <w:rPr>
          <w:rFonts w:asciiTheme="minorHAnsi" w:hAnsiTheme="minorHAnsi"/>
          <w:lang w:val="hr-BA"/>
        </w:rPr>
        <w:t>Unije</w:t>
      </w:r>
      <w:r w:rsidRPr="002C153E">
        <w:rPr>
          <w:rFonts w:asciiTheme="minorHAnsi" w:hAnsiTheme="minorHAnsi"/>
          <w:lang w:val="hr-BA"/>
        </w:rPr>
        <w:t xml:space="preserve"> </w:t>
      </w:r>
    </w:p>
    <w:p w14:paraId="37B4ADBB" w14:textId="77777777" w:rsidR="006B59E2" w:rsidRPr="002C153E" w:rsidRDefault="006B59E2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Potreba za ujednačenošću sustava odgovornosti bez obzira je li onaj koji vrši povredu prava država ili institucija EU dovela je do primjene kriterija razvijenih u sudskoj praksi u vezi s odgovornošću država za štetu i za slučaj odgovornosti institucija EU – predmet C-352/98P </w:t>
      </w:r>
      <w:r w:rsidRPr="002C153E">
        <w:rPr>
          <w:rFonts w:asciiTheme="minorHAnsi" w:hAnsiTheme="minorHAnsi"/>
          <w:i/>
          <w:lang w:val="hr-BA"/>
        </w:rPr>
        <w:t>Bergaderm</w:t>
      </w:r>
    </w:p>
    <w:p w14:paraId="29799DE0" w14:textId="66CB8DF1" w:rsidR="00D30E72" w:rsidRPr="002C153E" w:rsidRDefault="00AD4614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>Ozbiljnost povrede ovisi o razini diskrecije ostavljen</w:t>
      </w:r>
      <w:r w:rsidR="00CD4BD8" w:rsidRPr="002C153E">
        <w:rPr>
          <w:rFonts w:asciiTheme="minorHAnsi" w:hAnsiTheme="minorHAnsi"/>
          <w:lang w:val="hr-BA"/>
        </w:rPr>
        <w:t>e</w:t>
      </w:r>
      <w:r w:rsidRPr="002C153E">
        <w:rPr>
          <w:rFonts w:asciiTheme="minorHAnsi" w:hAnsiTheme="minorHAnsi"/>
          <w:lang w:val="hr-BA"/>
        </w:rPr>
        <w:t xml:space="preserve"> državnim vlastima </w:t>
      </w:r>
    </w:p>
    <w:p w14:paraId="39AA6408" w14:textId="3008574D" w:rsidR="00D30E72" w:rsidRPr="002C153E" w:rsidRDefault="00AD4614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Ako </w:t>
      </w:r>
      <w:r w:rsidR="00CD4BD8" w:rsidRPr="002C153E">
        <w:rPr>
          <w:rFonts w:asciiTheme="minorHAnsi" w:hAnsiTheme="minorHAnsi"/>
          <w:lang w:val="hr-BA"/>
        </w:rPr>
        <w:t xml:space="preserve">država ne uživa nikakvu, ili samo minimalnu, diskreciju, </w:t>
      </w:r>
      <w:r w:rsidRPr="002C153E">
        <w:rPr>
          <w:rFonts w:asciiTheme="minorHAnsi" w:hAnsiTheme="minorHAnsi"/>
          <w:lang w:val="hr-BA"/>
        </w:rPr>
        <w:t xml:space="preserve">povreda će uvijek biti dovoljno ozbiljna </w:t>
      </w:r>
    </w:p>
    <w:p w14:paraId="58CC4F96" w14:textId="62562A8E" w:rsidR="00D30E72" w:rsidRPr="002C153E" w:rsidRDefault="00AD4614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Stoga je povreda uvijek </w:t>
      </w:r>
      <w:r w:rsidR="00C85111" w:rsidRPr="002C153E">
        <w:rPr>
          <w:rFonts w:asciiTheme="minorHAnsi" w:hAnsiTheme="minorHAnsi"/>
          <w:lang w:val="hr-BA"/>
        </w:rPr>
        <w:t xml:space="preserve">dovoljno </w:t>
      </w:r>
      <w:r w:rsidRPr="002C153E">
        <w:rPr>
          <w:rFonts w:asciiTheme="minorHAnsi" w:hAnsiTheme="minorHAnsi"/>
          <w:lang w:val="hr-BA"/>
        </w:rPr>
        <w:t xml:space="preserve">ozbiljna u situaciji tipa </w:t>
      </w:r>
      <w:r w:rsidR="00C85111" w:rsidRPr="002C153E">
        <w:rPr>
          <w:rFonts w:asciiTheme="minorHAnsi" w:hAnsiTheme="minorHAnsi"/>
          <w:lang w:val="hr-BA"/>
        </w:rPr>
        <w:t>Francovich – tj. k</w:t>
      </w:r>
      <w:r w:rsidRPr="002C153E">
        <w:rPr>
          <w:rFonts w:asciiTheme="minorHAnsi" w:hAnsiTheme="minorHAnsi"/>
          <w:lang w:val="hr-BA"/>
        </w:rPr>
        <w:t xml:space="preserve">ada država ne učini ništa da bi provela direktivu po proteku roka za njenu </w:t>
      </w:r>
      <w:r w:rsidR="00C85111" w:rsidRPr="002C153E">
        <w:rPr>
          <w:rFonts w:asciiTheme="minorHAnsi" w:hAnsiTheme="minorHAnsi"/>
          <w:lang w:val="hr-BA"/>
        </w:rPr>
        <w:t>i</w:t>
      </w:r>
      <w:r w:rsidRPr="002C153E">
        <w:rPr>
          <w:rFonts w:asciiTheme="minorHAnsi" w:hAnsiTheme="minorHAnsi"/>
          <w:lang w:val="hr-BA"/>
        </w:rPr>
        <w:t xml:space="preserve">mplementaciju </w:t>
      </w:r>
      <w:r w:rsidR="00C85111" w:rsidRPr="002C153E">
        <w:rPr>
          <w:rFonts w:asciiTheme="minorHAnsi" w:hAnsiTheme="minorHAnsi"/>
          <w:lang w:val="hr-BA"/>
        </w:rPr>
        <w:t>(jer, iako država često može izabrati kako provesti direktivu, ne može birati da li da je provede)</w:t>
      </w:r>
    </w:p>
    <w:p w14:paraId="31160EAD" w14:textId="6F7BC2BA" w:rsidR="00AD4614" w:rsidRPr="002C153E" w:rsidRDefault="007D2450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lastRenderedPageBreak/>
        <w:t>Kad</w:t>
      </w:r>
      <w:r w:rsidR="00AD4614" w:rsidRPr="002C153E">
        <w:rPr>
          <w:rFonts w:asciiTheme="minorHAnsi" w:hAnsiTheme="minorHAnsi"/>
          <w:lang w:val="hr-BA"/>
        </w:rPr>
        <w:t xml:space="preserve"> postoji diskrecija, povreda će biti dovoljno ozbiljna ako je tijelo u pitanju očito i teško zanemarilo granice svojih ovlasti</w:t>
      </w:r>
    </w:p>
    <w:p w14:paraId="363DCCE1" w14:textId="2AF67B8C" w:rsidR="00AD4614" w:rsidRPr="002C153E" w:rsidRDefault="00AD4614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>Okolnosti koje se mogu uzeti u obzir pri odlučivanju o tome je li povreda dovoljno ozbiljna: jasnoća norme u pitanju, postojanje interpretacije te norme od strane institucija E</w:t>
      </w:r>
      <w:r w:rsidR="007D2450" w:rsidRPr="002C153E">
        <w:rPr>
          <w:rFonts w:asciiTheme="minorHAnsi" w:hAnsiTheme="minorHAnsi"/>
          <w:lang w:val="hr-BA"/>
        </w:rPr>
        <w:t>U</w:t>
      </w:r>
      <w:r w:rsidRPr="002C153E">
        <w:rPr>
          <w:rFonts w:asciiTheme="minorHAnsi" w:hAnsiTheme="minorHAnsi"/>
          <w:lang w:val="hr-BA"/>
        </w:rPr>
        <w:t xml:space="preserve">; postojeća sudska praksa ... </w:t>
      </w:r>
    </w:p>
    <w:p w14:paraId="7BE998E5" w14:textId="77777777" w:rsidR="00D30E72" w:rsidRPr="002C153E" w:rsidRDefault="00AD4614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Na nacionalnom je sudu da u konačnici utvrdi je li povreda bila dovoljno ozbiljna, ali vidi </w:t>
      </w:r>
      <w:r w:rsidR="00D30E72" w:rsidRPr="002C153E">
        <w:rPr>
          <w:rFonts w:asciiTheme="minorHAnsi" w:hAnsiTheme="minorHAnsi"/>
          <w:lang w:val="hr-BA"/>
        </w:rPr>
        <w:t xml:space="preserve">C-392/93 </w:t>
      </w:r>
      <w:r w:rsidR="00D30E72" w:rsidRPr="002C153E">
        <w:rPr>
          <w:rFonts w:asciiTheme="minorHAnsi" w:hAnsiTheme="minorHAnsi"/>
          <w:i/>
          <w:lang w:val="hr-BA"/>
        </w:rPr>
        <w:t>British Telecommunications</w:t>
      </w:r>
      <w:r w:rsidR="00D30E72" w:rsidRPr="002C153E">
        <w:rPr>
          <w:rFonts w:asciiTheme="minorHAnsi" w:hAnsiTheme="minorHAnsi"/>
          <w:lang w:val="hr-BA"/>
        </w:rPr>
        <w:t xml:space="preserve"> </w:t>
      </w:r>
      <w:r w:rsidRPr="002C153E">
        <w:rPr>
          <w:rFonts w:asciiTheme="minorHAnsi" w:hAnsiTheme="minorHAnsi"/>
          <w:lang w:val="hr-BA"/>
        </w:rPr>
        <w:t>ili</w:t>
      </w:r>
      <w:r w:rsidR="00D30E72" w:rsidRPr="002C153E">
        <w:rPr>
          <w:rFonts w:asciiTheme="minorHAnsi" w:hAnsiTheme="minorHAnsi"/>
          <w:lang w:val="hr-BA"/>
        </w:rPr>
        <w:t xml:space="preserve"> C-283, 291 </w:t>
      </w:r>
      <w:r w:rsidRPr="002C153E">
        <w:rPr>
          <w:rFonts w:asciiTheme="minorHAnsi" w:hAnsiTheme="minorHAnsi"/>
          <w:lang w:val="hr-BA"/>
        </w:rPr>
        <w:t>i</w:t>
      </w:r>
      <w:r w:rsidR="00D30E72" w:rsidRPr="002C153E">
        <w:rPr>
          <w:rFonts w:asciiTheme="minorHAnsi" w:hAnsiTheme="minorHAnsi"/>
          <w:lang w:val="hr-BA"/>
        </w:rPr>
        <w:t xml:space="preserve"> 292/94 </w:t>
      </w:r>
      <w:r w:rsidR="00D30E72" w:rsidRPr="002C153E">
        <w:rPr>
          <w:rFonts w:asciiTheme="minorHAnsi" w:hAnsiTheme="minorHAnsi"/>
          <w:i/>
          <w:lang w:val="hr-BA"/>
        </w:rPr>
        <w:t>Denkavit</w:t>
      </w:r>
    </w:p>
    <w:p w14:paraId="4B9B7C22" w14:textId="77777777" w:rsidR="00D30E72" w:rsidRPr="002C153E" w:rsidRDefault="00D30E72" w:rsidP="002C153E">
      <w:pPr>
        <w:jc w:val="both"/>
        <w:rPr>
          <w:rFonts w:asciiTheme="minorHAnsi" w:hAnsiTheme="minorHAnsi"/>
          <w:lang w:val="hr-BA"/>
        </w:rPr>
      </w:pPr>
    </w:p>
    <w:p w14:paraId="26F5F068" w14:textId="77777777" w:rsidR="00D30E72" w:rsidRPr="002C153E" w:rsidRDefault="001E00C7" w:rsidP="002C153E">
      <w:pPr>
        <w:numPr>
          <w:ilvl w:val="0"/>
          <w:numId w:val="12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Izravna uzročna veza </w:t>
      </w:r>
    </w:p>
    <w:p w14:paraId="44148745" w14:textId="77777777" w:rsidR="00D30E72" w:rsidRPr="002C153E" w:rsidRDefault="001E00C7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Kidanje lanca uzročnosti od strane nacionalnih izvršnih organa može državu kao zakonodavca osloboditi odgovornosti čak i situaciji tipa Francovich, kad država, dakle, nije poduzela nikakve zakonodavne mjere da direktivu prenese u interno pravo -  </w:t>
      </w:r>
      <w:r w:rsidR="00D30E72" w:rsidRPr="002C153E">
        <w:rPr>
          <w:rFonts w:asciiTheme="minorHAnsi" w:hAnsiTheme="minorHAnsi"/>
          <w:lang w:val="hr-BA"/>
        </w:rPr>
        <w:t xml:space="preserve">C-319/96 </w:t>
      </w:r>
      <w:r w:rsidR="00D30E72" w:rsidRPr="002C153E">
        <w:rPr>
          <w:rFonts w:asciiTheme="minorHAnsi" w:hAnsiTheme="minorHAnsi"/>
          <w:i/>
          <w:lang w:val="hr-BA"/>
        </w:rPr>
        <w:t>Brinkmann</w:t>
      </w:r>
    </w:p>
    <w:p w14:paraId="62963276" w14:textId="77777777" w:rsidR="00D30E72" w:rsidRPr="002C153E" w:rsidRDefault="001E00C7" w:rsidP="002C153E">
      <w:pPr>
        <w:numPr>
          <w:ilvl w:val="1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Postoje zapravo samo dvije situacije u kojima će se moći uspostaviti odgovornost države kao zakonodavca: </w:t>
      </w:r>
    </w:p>
    <w:p w14:paraId="371AD540" w14:textId="77777777" w:rsidR="00D30E72" w:rsidRPr="002C153E" w:rsidRDefault="001E00C7" w:rsidP="002C153E">
      <w:pPr>
        <w:numPr>
          <w:ilvl w:val="2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Kad nema miješanja izvršnih tijela u lanac uzročnosti </w:t>
      </w:r>
      <w:r w:rsidR="00D30E72" w:rsidRPr="002C153E">
        <w:rPr>
          <w:rFonts w:asciiTheme="minorHAnsi" w:hAnsiTheme="minorHAnsi"/>
          <w:lang w:val="hr-BA"/>
        </w:rPr>
        <w:t xml:space="preserve">(C-140/97 </w:t>
      </w:r>
      <w:r w:rsidR="00D30E72" w:rsidRPr="002C153E">
        <w:rPr>
          <w:rFonts w:asciiTheme="minorHAnsi" w:hAnsiTheme="minorHAnsi"/>
          <w:i/>
          <w:lang w:val="hr-BA"/>
        </w:rPr>
        <w:t>Rechberger</w:t>
      </w:r>
      <w:r w:rsidR="00D30E72" w:rsidRPr="002C153E">
        <w:rPr>
          <w:rFonts w:asciiTheme="minorHAnsi" w:hAnsiTheme="minorHAnsi"/>
          <w:lang w:val="hr-BA"/>
        </w:rPr>
        <w:t>)</w:t>
      </w:r>
    </w:p>
    <w:p w14:paraId="1B73BFCF" w14:textId="111AECF1" w:rsidR="00D30E72" w:rsidRPr="002C153E" w:rsidRDefault="001E00C7" w:rsidP="002C153E">
      <w:pPr>
        <w:numPr>
          <w:ilvl w:val="2"/>
          <w:numId w:val="1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 xml:space="preserve">Kad norma </w:t>
      </w:r>
      <w:r w:rsidR="00A9374F" w:rsidRPr="002C153E">
        <w:rPr>
          <w:rFonts w:asciiTheme="minorHAnsi" w:hAnsiTheme="minorHAnsi"/>
          <w:lang w:val="hr-BA"/>
        </w:rPr>
        <w:t>Unij</w:t>
      </w:r>
      <w:r w:rsidRPr="002C153E">
        <w:rPr>
          <w:rFonts w:asciiTheme="minorHAnsi" w:hAnsiTheme="minorHAnsi"/>
          <w:lang w:val="hr-BA"/>
        </w:rPr>
        <w:t xml:space="preserve">e nema izravni učinak a nacionalno pravo se ne može interpretirati u skladu s tom normom </w:t>
      </w:r>
    </w:p>
    <w:p w14:paraId="42922D95" w14:textId="77777777" w:rsidR="001E00C7" w:rsidRPr="002C153E" w:rsidRDefault="001E00C7" w:rsidP="002C153E">
      <w:pPr>
        <w:ind w:left="360"/>
        <w:jc w:val="both"/>
        <w:rPr>
          <w:rFonts w:asciiTheme="minorHAnsi" w:hAnsiTheme="minorHAnsi"/>
          <w:lang w:val="hr-BA"/>
        </w:rPr>
      </w:pPr>
    </w:p>
    <w:p w14:paraId="7CEB8E9B" w14:textId="1FB8B9FD" w:rsidR="00D30E72" w:rsidRPr="002C153E" w:rsidRDefault="001E00C7" w:rsidP="002C153E">
      <w:pPr>
        <w:numPr>
          <w:ilvl w:val="0"/>
          <w:numId w:val="14"/>
        </w:numPr>
        <w:jc w:val="both"/>
        <w:rPr>
          <w:rFonts w:asciiTheme="minorHAnsi" w:hAnsiTheme="minorHAnsi"/>
          <w:lang w:val="hr-BA"/>
        </w:rPr>
      </w:pPr>
      <w:r w:rsidRPr="002C153E">
        <w:rPr>
          <w:rFonts w:asciiTheme="minorHAnsi" w:hAnsiTheme="minorHAnsi"/>
          <w:lang w:val="hr-BA"/>
        </w:rPr>
        <w:t>Sva ostala pitanja vezana uz odgovornost države (npr.</w:t>
      </w:r>
      <w:r w:rsidR="00D30E72" w:rsidRPr="002C153E">
        <w:rPr>
          <w:rFonts w:asciiTheme="minorHAnsi" w:hAnsiTheme="minorHAnsi"/>
          <w:lang w:val="hr-BA"/>
        </w:rPr>
        <w:t xml:space="preserve"> </w:t>
      </w:r>
      <w:r w:rsidR="00A9374F" w:rsidRPr="002C153E">
        <w:rPr>
          <w:rFonts w:asciiTheme="minorHAnsi" w:hAnsiTheme="minorHAnsi"/>
          <w:lang w:val="hr-BA"/>
        </w:rPr>
        <w:t>r</w:t>
      </w:r>
      <w:r w:rsidRPr="002C153E">
        <w:rPr>
          <w:rFonts w:asciiTheme="minorHAnsi" w:hAnsiTheme="minorHAnsi"/>
          <w:lang w:val="hr-BA"/>
        </w:rPr>
        <w:t xml:space="preserve">okovi za podnošenje tužbe, nadležni sudovi, teret dokaza, i sl.) ovise o postojećim nacionalnim pravima ograničenim načelima ekvivalentnosti i djelotvornosti </w:t>
      </w:r>
    </w:p>
    <w:p w14:paraId="73CADC92" w14:textId="77777777" w:rsidR="001E00C7" w:rsidRPr="002C153E" w:rsidRDefault="001E00C7" w:rsidP="002C153E">
      <w:pPr>
        <w:ind w:left="360"/>
        <w:jc w:val="both"/>
        <w:rPr>
          <w:rFonts w:asciiTheme="minorHAnsi" w:hAnsiTheme="minorHAnsi"/>
          <w:lang w:val="hr-BA"/>
        </w:rPr>
      </w:pPr>
    </w:p>
    <w:p w14:paraId="487CCE71" w14:textId="77777777" w:rsidR="00D30E72" w:rsidRPr="002C153E" w:rsidRDefault="00D30E72" w:rsidP="002C153E">
      <w:pPr>
        <w:jc w:val="both"/>
        <w:rPr>
          <w:rFonts w:asciiTheme="minorHAnsi" w:hAnsiTheme="minorHAnsi"/>
          <w:lang w:val="hr-BA"/>
        </w:rPr>
      </w:pPr>
    </w:p>
    <w:p w14:paraId="77089333" w14:textId="77777777" w:rsidR="009C7E5E" w:rsidRPr="002C153E" w:rsidRDefault="009C7E5E" w:rsidP="002C153E">
      <w:pPr>
        <w:jc w:val="both"/>
        <w:rPr>
          <w:rFonts w:asciiTheme="minorHAnsi" w:hAnsiTheme="minorHAnsi"/>
          <w:lang w:val="hr-BA"/>
        </w:rPr>
      </w:pPr>
    </w:p>
    <w:sectPr w:rsidR="009C7E5E" w:rsidRPr="002C153E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04E5D" w14:textId="77777777" w:rsidR="00327516" w:rsidRDefault="00327516">
      <w:r>
        <w:separator/>
      </w:r>
    </w:p>
  </w:endnote>
  <w:endnote w:type="continuationSeparator" w:id="0">
    <w:p w14:paraId="6B399BBA" w14:textId="77777777" w:rsidR="00327516" w:rsidRDefault="0032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CC412C" w14:textId="77777777" w:rsidR="0066040E" w:rsidRDefault="0066040E" w:rsidP="00227C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ED11F8" w14:textId="77777777" w:rsidR="0066040E" w:rsidRDefault="0066040E" w:rsidP="006604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156F3" w14:textId="77777777" w:rsidR="0066040E" w:rsidRDefault="0066040E" w:rsidP="00227C40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27C40">
      <w:rPr>
        <w:rStyle w:val="PageNumber"/>
        <w:noProof/>
      </w:rPr>
      <w:t>1</w:t>
    </w:r>
    <w:r>
      <w:rPr>
        <w:rStyle w:val="PageNumber"/>
      </w:rPr>
      <w:fldChar w:fldCharType="end"/>
    </w:r>
  </w:p>
  <w:p w14:paraId="05D18651" w14:textId="77777777" w:rsidR="0066040E" w:rsidRDefault="0066040E" w:rsidP="0066040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C9C685" w14:textId="77777777" w:rsidR="00327516" w:rsidRDefault="00327516">
      <w:r>
        <w:separator/>
      </w:r>
    </w:p>
  </w:footnote>
  <w:footnote w:type="continuationSeparator" w:id="0">
    <w:p w14:paraId="3DF3147C" w14:textId="77777777" w:rsidR="00327516" w:rsidRDefault="00327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FF7"/>
    <w:multiLevelType w:val="hybridMultilevel"/>
    <w:tmpl w:val="AEB2984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D23BEF"/>
    <w:multiLevelType w:val="multilevel"/>
    <w:tmpl w:val="090EC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003568"/>
    <w:multiLevelType w:val="hybridMultilevel"/>
    <w:tmpl w:val="0CDA741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342A0A"/>
    <w:multiLevelType w:val="hybridMultilevel"/>
    <w:tmpl w:val="17686FBC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3E1D19"/>
    <w:multiLevelType w:val="multilevel"/>
    <w:tmpl w:val="090EC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A366DAE"/>
    <w:multiLevelType w:val="hybridMultilevel"/>
    <w:tmpl w:val="E514B82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426E401B"/>
    <w:multiLevelType w:val="multilevel"/>
    <w:tmpl w:val="090EC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FB3EFD"/>
    <w:multiLevelType w:val="multilevel"/>
    <w:tmpl w:val="4014CEB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FFA4CC0"/>
    <w:multiLevelType w:val="hybridMultilevel"/>
    <w:tmpl w:val="4014CEB0"/>
    <w:lvl w:ilvl="0" w:tplc="619E656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62E83056"/>
    <w:multiLevelType w:val="multilevel"/>
    <w:tmpl w:val="090EC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832F81"/>
    <w:multiLevelType w:val="multilevel"/>
    <w:tmpl w:val="090EC14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CE579A"/>
    <w:multiLevelType w:val="hybridMultilevel"/>
    <w:tmpl w:val="131217AA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33210BE"/>
    <w:multiLevelType w:val="hybridMultilevel"/>
    <w:tmpl w:val="090EC14A"/>
    <w:lvl w:ilvl="0" w:tplc="619E65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FEB27FD"/>
    <w:multiLevelType w:val="hybridMultilevel"/>
    <w:tmpl w:val="844CE6B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5"/>
  </w:num>
  <w:num w:numId="5">
    <w:abstractNumId w:val="9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4"/>
  </w:num>
  <w:num w:numId="12">
    <w:abstractNumId w:val="11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72"/>
    <w:rsid w:val="00031F6B"/>
    <w:rsid w:val="00123EE4"/>
    <w:rsid w:val="001E00C7"/>
    <w:rsid w:val="00227C40"/>
    <w:rsid w:val="002B1B99"/>
    <w:rsid w:val="002B7C44"/>
    <w:rsid w:val="002C153E"/>
    <w:rsid w:val="00312835"/>
    <w:rsid w:val="00327516"/>
    <w:rsid w:val="003639A8"/>
    <w:rsid w:val="00527035"/>
    <w:rsid w:val="00536CA8"/>
    <w:rsid w:val="00544142"/>
    <w:rsid w:val="0066040E"/>
    <w:rsid w:val="006B59E2"/>
    <w:rsid w:val="0072339F"/>
    <w:rsid w:val="007D2450"/>
    <w:rsid w:val="007F5FC1"/>
    <w:rsid w:val="00814379"/>
    <w:rsid w:val="0084348F"/>
    <w:rsid w:val="00843D24"/>
    <w:rsid w:val="00991614"/>
    <w:rsid w:val="009C7E5E"/>
    <w:rsid w:val="009E554C"/>
    <w:rsid w:val="00A9374F"/>
    <w:rsid w:val="00AD4614"/>
    <w:rsid w:val="00B140BD"/>
    <w:rsid w:val="00BC1EB4"/>
    <w:rsid w:val="00C85111"/>
    <w:rsid w:val="00CA5EF6"/>
    <w:rsid w:val="00CD4BD8"/>
    <w:rsid w:val="00D30E72"/>
    <w:rsid w:val="00DD0D3E"/>
    <w:rsid w:val="00DE0C5D"/>
    <w:rsid w:val="00E338D9"/>
    <w:rsid w:val="00E44DC7"/>
    <w:rsid w:val="00F12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7F1AAFF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E72"/>
    <w:rPr>
      <w:sz w:val="24"/>
      <w:szCs w:val="24"/>
      <w:lang w:val="en-GB"/>
    </w:rPr>
  </w:style>
  <w:style w:type="paragraph" w:styleId="Heading3">
    <w:name w:val="heading 3"/>
    <w:basedOn w:val="Normal"/>
    <w:next w:val="Normal"/>
    <w:qFormat/>
    <w:rsid w:val="00D30E72"/>
    <w:pPr>
      <w:keepNext/>
      <w:jc w:val="both"/>
      <w:outlineLvl w:val="2"/>
    </w:pPr>
    <w:rPr>
      <w:u w:val="single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66040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6604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530</Words>
  <Characters>3022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Zagrebu</Company>
  <LinksUpToDate>false</LinksUpToDate>
  <CharactersWithSpaces>3545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Ćapeta</dc:creator>
  <cp:keywords/>
  <dc:description/>
  <cp:lastModifiedBy>Tamara Capeta</cp:lastModifiedBy>
  <cp:revision>9</cp:revision>
  <dcterms:created xsi:type="dcterms:W3CDTF">2015-12-01T09:59:00Z</dcterms:created>
  <dcterms:modified xsi:type="dcterms:W3CDTF">2015-12-01T10:07:00Z</dcterms:modified>
</cp:coreProperties>
</file>