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D04" w14:textId="7CF35E86" w:rsidR="000A0E16" w:rsidRDefault="000A0E16" w:rsidP="000A0E1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6109E">
        <w:rPr>
          <w:rFonts w:ascii="Arial" w:hAnsi="Arial" w:cs="Arial"/>
          <w:b/>
          <w:sz w:val="20"/>
          <w:szCs w:val="20"/>
          <w:u w:val="single"/>
        </w:rPr>
        <w:t>NAUKA O JAVNOJ UPRAVI II</w:t>
      </w:r>
    </w:p>
    <w:p w14:paraId="1F7E2E5F" w14:textId="77777777" w:rsidR="0099056D" w:rsidRPr="0036109E" w:rsidRDefault="0099056D" w:rsidP="000A0E1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472B870" w14:textId="77777777" w:rsidR="00902993" w:rsidRPr="00FF311F" w:rsidRDefault="00902993" w:rsidP="00902993">
      <w:pPr>
        <w:pStyle w:val="Bezproreda"/>
        <w:spacing w:line="276" w:lineRule="auto"/>
        <w:jc w:val="both"/>
        <w:rPr>
          <w:rFonts w:ascii="Arial" w:hAnsi="Arial" w:cs="Arial"/>
          <w:b/>
        </w:rPr>
      </w:pPr>
      <w:r w:rsidRPr="00FF311F">
        <w:rPr>
          <w:rFonts w:ascii="Arial" w:hAnsi="Arial" w:cs="Arial"/>
          <w:b/>
        </w:rPr>
        <w:t>Nastavni plan rada</w:t>
      </w:r>
    </w:p>
    <w:p w14:paraId="350EC55E" w14:textId="77777777" w:rsidR="00902993" w:rsidRPr="00FF311F" w:rsidRDefault="00902993" w:rsidP="00902993">
      <w:pPr>
        <w:pStyle w:val="Bezproreda"/>
        <w:spacing w:line="276" w:lineRule="auto"/>
        <w:jc w:val="both"/>
        <w:rPr>
          <w:rFonts w:ascii="Arial" w:hAnsi="Arial" w:cs="Arial"/>
          <w:b/>
        </w:rPr>
      </w:pPr>
    </w:p>
    <w:p w14:paraId="12B67E71" w14:textId="36B43EB6" w:rsidR="00902993" w:rsidRPr="00834D98" w:rsidRDefault="00902993" w:rsidP="00902993">
      <w:pPr>
        <w:jc w:val="both"/>
        <w:rPr>
          <w:rFonts w:ascii="Arial" w:hAnsi="Arial" w:cs="Arial"/>
          <w:b/>
        </w:rPr>
      </w:pPr>
      <w:r w:rsidRPr="00834D98">
        <w:rPr>
          <w:rFonts w:ascii="Arial" w:hAnsi="Arial" w:cs="Arial"/>
        </w:rPr>
        <w:t xml:space="preserve">Predavanja za </w:t>
      </w:r>
      <w:r w:rsidRPr="00834D98">
        <w:rPr>
          <w:rFonts w:ascii="Arial" w:hAnsi="Arial" w:cs="Arial"/>
          <w:b/>
        </w:rPr>
        <w:t>redovne studente</w:t>
      </w:r>
      <w:r w:rsidRPr="00834D98">
        <w:rPr>
          <w:rFonts w:ascii="Arial" w:hAnsi="Arial" w:cs="Arial"/>
        </w:rPr>
        <w:t xml:space="preserve"> održavaju se</w:t>
      </w:r>
      <w:r>
        <w:rPr>
          <w:rFonts w:ascii="Arial" w:hAnsi="Arial" w:cs="Arial"/>
        </w:rPr>
        <w:t xml:space="preserve"> </w:t>
      </w:r>
      <w:r w:rsidRPr="00902993">
        <w:rPr>
          <w:rFonts w:ascii="Arial" w:hAnsi="Arial" w:cs="Arial"/>
          <w:b/>
          <w:bCs/>
        </w:rPr>
        <w:t>utorkom od</w:t>
      </w:r>
      <w:r w:rsidRPr="00834D98">
        <w:rPr>
          <w:rFonts w:ascii="Arial" w:hAnsi="Arial" w:cs="Arial"/>
        </w:rPr>
        <w:t xml:space="preserve"> </w:t>
      </w:r>
      <w:r w:rsidRPr="00902993">
        <w:rPr>
          <w:rFonts w:ascii="Arial" w:hAnsi="Arial" w:cs="Arial"/>
          <w:b/>
        </w:rPr>
        <w:t>13:00 – 15:30</w:t>
      </w:r>
      <w:r>
        <w:rPr>
          <w:rFonts w:ascii="Arial" w:hAnsi="Arial" w:cs="Arial"/>
          <w:b/>
        </w:rPr>
        <w:t xml:space="preserve"> </w:t>
      </w:r>
      <w:r w:rsidRPr="00834D98">
        <w:rPr>
          <w:rFonts w:ascii="Arial" w:hAnsi="Arial" w:cs="Arial"/>
        </w:rPr>
        <w:t xml:space="preserve">u Gundulićevoj 10, dvorana </w:t>
      </w:r>
      <w:r>
        <w:rPr>
          <w:rFonts w:ascii="Arial" w:hAnsi="Arial" w:cs="Arial"/>
        </w:rPr>
        <w:t>1</w:t>
      </w:r>
      <w:r w:rsidRPr="00834D98">
        <w:rPr>
          <w:rFonts w:ascii="Arial" w:hAnsi="Arial" w:cs="Arial"/>
        </w:rPr>
        <w:t>.</w:t>
      </w:r>
    </w:p>
    <w:p w14:paraId="7E1D7FFA" w14:textId="722E3806" w:rsidR="00902993" w:rsidRDefault="00902993" w:rsidP="00902993">
      <w:pPr>
        <w:jc w:val="both"/>
        <w:rPr>
          <w:rFonts w:ascii="Arial" w:hAnsi="Arial" w:cs="Arial"/>
        </w:rPr>
      </w:pPr>
      <w:r w:rsidRPr="00834D98">
        <w:rPr>
          <w:rFonts w:ascii="Arial" w:hAnsi="Arial" w:cs="Arial"/>
        </w:rPr>
        <w:t>Predavanja za</w:t>
      </w:r>
      <w:r w:rsidRPr="00834D98">
        <w:rPr>
          <w:rFonts w:ascii="Arial" w:hAnsi="Arial" w:cs="Arial"/>
          <w:b/>
        </w:rPr>
        <w:t xml:space="preserve"> izvanredne </w:t>
      </w:r>
      <w:r w:rsidRPr="00834D98">
        <w:rPr>
          <w:rFonts w:ascii="Arial" w:hAnsi="Arial" w:cs="Arial"/>
        </w:rPr>
        <w:t xml:space="preserve">studente održavaju </w:t>
      </w:r>
      <w:r w:rsidRPr="00834D98">
        <w:rPr>
          <w:rFonts w:ascii="Arial" w:hAnsi="Arial" w:cs="Arial"/>
          <w:b/>
          <w:bCs/>
        </w:rPr>
        <w:t xml:space="preserve">utorkom od </w:t>
      </w:r>
      <w:r>
        <w:rPr>
          <w:rFonts w:ascii="Arial" w:hAnsi="Arial" w:cs="Arial"/>
          <w:b/>
          <w:bCs/>
        </w:rPr>
        <w:t>17:00</w:t>
      </w:r>
      <w:r w:rsidRPr="00834D9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834D98">
        <w:rPr>
          <w:rFonts w:ascii="Arial" w:hAnsi="Arial" w:cs="Arial"/>
          <w:b/>
          <w:bCs/>
        </w:rPr>
        <w:t xml:space="preserve"> 21</w:t>
      </w:r>
      <w:r>
        <w:rPr>
          <w:rFonts w:ascii="Arial" w:hAnsi="Arial" w:cs="Arial"/>
          <w:b/>
          <w:bCs/>
        </w:rPr>
        <w:t>:00</w:t>
      </w:r>
      <w:r w:rsidRPr="00834D98">
        <w:rPr>
          <w:rFonts w:ascii="Arial" w:hAnsi="Arial" w:cs="Arial"/>
        </w:rPr>
        <w:t xml:space="preserve"> se u Ćirilometodskoj 4, dvorana 5 prema priloženom rasporedu.</w:t>
      </w:r>
    </w:p>
    <w:p w14:paraId="4CC38C3C" w14:textId="3A335041" w:rsidR="00902993" w:rsidRPr="00834D98" w:rsidRDefault="00902993" w:rsidP="009029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Online v</w:t>
      </w:r>
      <w:r w:rsidRPr="00D51045">
        <w:rPr>
          <w:rFonts w:ascii="Arial" w:hAnsi="Arial" w:cs="Arial"/>
          <w:b/>
          <w:bCs/>
        </w:rPr>
        <w:t>ježbe</w:t>
      </w:r>
      <w:r>
        <w:rPr>
          <w:rFonts w:ascii="Arial" w:hAnsi="Arial" w:cs="Arial"/>
        </w:rPr>
        <w:t xml:space="preserve"> i </w:t>
      </w:r>
      <w:r w:rsidRPr="00D51045">
        <w:rPr>
          <w:rFonts w:ascii="Arial" w:hAnsi="Arial" w:cs="Arial"/>
          <w:b/>
          <w:bCs/>
        </w:rPr>
        <w:t>kolokvij</w:t>
      </w:r>
      <w:r>
        <w:rPr>
          <w:rFonts w:ascii="Arial" w:hAnsi="Arial" w:cs="Arial"/>
        </w:rPr>
        <w:t xml:space="preserve"> se održavaju </w:t>
      </w:r>
      <w:r w:rsidRPr="003920C9">
        <w:rPr>
          <w:rFonts w:ascii="Arial" w:hAnsi="Arial" w:cs="Arial"/>
          <w:b/>
          <w:bCs/>
          <w:u w:val="single"/>
        </w:rPr>
        <w:t>zajednički</w:t>
      </w:r>
      <w:r>
        <w:rPr>
          <w:rFonts w:ascii="Arial" w:hAnsi="Arial" w:cs="Arial"/>
        </w:rPr>
        <w:t xml:space="preserve"> za redovne i izvanredne studente i to u terminu nastave za izvanredne studente (v. raspored).</w:t>
      </w:r>
      <w:r w:rsidR="008033A6">
        <w:rPr>
          <w:rFonts w:ascii="Arial" w:hAnsi="Arial" w:cs="Arial"/>
        </w:rPr>
        <w:t xml:space="preserve"> Točno vrijeme održavanja vježbi i kolokvija bit će objavljeno naknadno, putem Merlin sustava.</w:t>
      </w:r>
    </w:p>
    <w:p w14:paraId="6958564B" w14:textId="77777777" w:rsidR="0099056D" w:rsidRDefault="0099056D" w:rsidP="000A0E16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61F372BD" w14:textId="0F3CF1CA" w:rsidR="000A0E16" w:rsidRPr="0036109E" w:rsidRDefault="000A0E16" w:rsidP="000A0E16">
      <w:pPr>
        <w:spacing w:after="0"/>
        <w:rPr>
          <w:rFonts w:ascii="Arial" w:hAnsi="Arial" w:cs="Arial"/>
          <w:sz w:val="20"/>
          <w:szCs w:val="20"/>
        </w:rPr>
      </w:pPr>
      <w:r w:rsidRPr="0036109E">
        <w:rPr>
          <w:rFonts w:ascii="Arial" w:hAnsi="Arial" w:cs="Arial"/>
          <w:b/>
          <w:sz w:val="20"/>
          <w:szCs w:val="20"/>
          <w:u w:val="single"/>
        </w:rPr>
        <w:t>REDOV</w:t>
      </w:r>
      <w:r w:rsidR="0099056D">
        <w:rPr>
          <w:rFonts w:ascii="Arial" w:hAnsi="Arial" w:cs="Arial"/>
          <w:b/>
          <w:sz w:val="20"/>
          <w:szCs w:val="20"/>
          <w:u w:val="single"/>
        </w:rPr>
        <w:t>NI</w:t>
      </w:r>
      <w:r w:rsidRPr="0036109E">
        <w:rPr>
          <w:rFonts w:ascii="Arial" w:hAnsi="Arial" w:cs="Arial"/>
          <w:b/>
          <w:sz w:val="20"/>
          <w:szCs w:val="20"/>
          <w:u w:val="single"/>
        </w:rPr>
        <w:t xml:space="preserve"> STUDENTI</w:t>
      </w:r>
    </w:p>
    <w:p w14:paraId="72DA7E5B" w14:textId="63BE157B" w:rsidR="000A0E16" w:rsidRPr="0036109E" w:rsidRDefault="000A0E16" w:rsidP="00066976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5245"/>
        <w:gridCol w:w="1985"/>
      </w:tblGrid>
      <w:tr w:rsidR="00B83F2B" w:rsidRPr="009F6801" w14:paraId="2932633F" w14:textId="77777777" w:rsidTr="00B83F2B">
        <w:trPr>
          <w:trHeight w:val="4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32E5A46" w14:textId="3063EA5D" w:rsidR="00B83F2B" w:rsidRPr="009F6801" w:rsidRDefault="00B83F2B" w:rsidP="00876C4A">
            <w:pPr>
              <w:pStyle w:val="Odlomakpopisa"/>
              <w:spacing w:after="0"/>
              <w:ind w:hanging="7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F680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44A1AF3" w14:textId="452FB334" w:rsidR="00B83F2B" w:rsidRPr="009F6801" w:rsidRDefault="00B83F2B" w:rsidP="00876C4A">
            <w:pPr>
              <w:spacing w:after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6801">
              <w:rPr>
                <w:rFonts w:ascii="Arial" w:hAnsi="Arial" w:cs="Arial"/>
                <w:b/>
                <w:noProof/>
                <w:sz w:val="20"/>
                <w:szCs w:val="20"/>
              </w:rPr>
              <w:t>Tema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9F8CF39" w14:textId="186FD88C" w:rsidR="00B83F2B" w:rsidRPr="009F6801" w:rsidRDefault="00B83F2B" w:rsidP="00876C4A">
            <w:pPr>
              <w:spacing w:after="0"/>
              <w:ind w:left="360" w:hanging="211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680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Nastavnik </w:t>
            </w:r>
          </w:p>
        </w:tc>
      </w:tr>
      <w:tr w:rsidR="00EA5956" w:rsidRPr="009F6801" w14:paraId="6290246F" w14:textId="77777777" w:rsidTr="00B83F2B">
        <w:trPr>
          <w:trHeight w:val="4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41CE" w14:textId="706420F1" w:rsidR="00EA5956" w:rsidRPr="009F6801" w:rsidRDefault="00107499" w:rsidP="009F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299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0299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2E1D" w14:textId="64F59955" w:rsidR="00EA5956" w:rsidRPr="009F6801" w:rsidRDefault="008740E0" w:rsidP="00876C4A">
            <w:pPr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Organizacija i njezino mjesto u razvoju kooperativnih sustava; Organizacijska struktura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E3CE" w14:textId="5E98F48B" w:rsidR="00EA5956" w:rsidRPr="009F6801" w:rsidRDefault="00107499" w:rsidP="00876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Džinić</w:t>
            </w:r>
            <w:proofErr w:type="spellEnd"/>
          </w:p>
        </w:tc>
      </w:tr>
      <w:tr w:rsidR="00EA5956" w:rsidRPr="009F6801" w14:paraId="3D1BA497" w14:textId="77777777" w:rsidTr="00B83F2B">
        <w:trPr>
          <w:trHeight w:val="2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2A4EB" w14:textId="4BEEFBF0" w:rsidR="00EA5956" w:rsidRPr="009F6801" w:rsidRDefault="00902993" w:rsidP="00876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A5956" w:rsidRPr="009F6801">
              <w:rPr>
                <w:rFonts w:ascii="Arial" w:hAnsi="Arial" w:cs="Arial"/>
                <w:sz w:val="20"/>
                <w:szCs w:val="20"/>
              </w:rPr>
              <w:t>.</w:t>
            </w:r>
            <w:r w:rsidR="009F6801" w:rsidRPr="009F6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956" w:rsidRPr="009F680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A91C" w14:textId="2A26061B" w:rsidR="00EA5956" w:rsidRPr="009F6801" w:rsidRDefault="008740E0" w:rsidP="00876C4A">
            <w:pPr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Razvoj teorije organizacije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5390" w14:textId="034A0DAA" w:rsidR="00EA5956" w:rsidRPr="009F6801" w:rsidRDefault="006604C4" w:rsidP="00876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Džinić</w:t>
            </w:r>
            <w:proofErr w:type="spellEnd"/>
          </w:p>
        </w:tc>
      </w:tr>
      <w:tr w:rsidR="00EA5956" w:rsidRPr="009F6801" w14:paraId="472D40E0" w14:textId="77777777" w:rsidTr="00B83F2B">
        <w:trPr>
          <w:trHeight w:val="2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0733" w14:textId="00D6E0B1" w:rsidR="00EA5956" w:rsidRPr="009F6801" w:rsidRDefault="00902993" w:rsidP="00876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A5956" w:rsidRPr="009F6801">
              <w:rPr>
                <w:rFonts w:ascii="Arial" w:hAnsi="Arial" w:cs="Arial"/>
                <w:sz w:val="20"/>
                <w:szCs w:val="20"/>
              </w:rPr>
              <w:t>.</w:t>
            </w:r>
            <w:r w:rsidR="009F6801" w:rsidRPr="009F6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956" w:rsidRPr="009F680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2144" w14:textId="5CD0A04E" w:rsidR="00EA5956" w:rsidRPr="009F6801" w:rsidRDefault="008740E0" w:rsidP="00876C4A">
            <w:pPr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Proces organiziranja; Razvoj i liječenje organizacije</w:t>
            </w:r>
            <w:r w:rsidR="008033A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8033A6" w:rsidRPr="009F6801">
              <w:rPr>
                <w:rFonts w:ascii="Arial" w:hAnsi="Arial" w:cs="Arial"/>
                <w:sz w:val="20"/>
                <w:szCs w:val="20"/>
              </w:rPr>
              <w:t>Razvoj upravne strukture; Razvoj upravne tehnologije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2391" w14:textId="70641420" w:rsidR="00EA5956" w:rsidRPr="009F6801" w:rsidRDefault="009F6801" w:rsidP="00876C4A">
            <w:pPr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T. Vukojičić Tomić</w:t>
            </w:r>
          </w:p>
        </w:tc>
      </w:tr>
      <w:tr w:rsidR="00EA5956" w:rsidRPr="009F6801" w14:paraId="5AF99B11" w14:textId="77777777" w:rsidTr="00B83F2B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AAFE" w14:textId="0860100F" w:rsidR="00EA5956" w:rsidRPr="009F6801" w:rsidRDefault="00902993" w:rsidP="009F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A5956" w:rsidRPr="009F6801">
              <w:rPr>
                <w:rFonts w:ascii="Arial" w:hAnsi="Arial" w:cs="Arial"/>
                <w:sz w:val="20"/>
                <w:szCs w:val="20"/>
              </w:rPr>
              <w:t>.</w:t>
            </w:r>
            <w:r w:rsidR="009F6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956" w:rsidRPr="009F680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8F0A" w14:textId="1D208C6E" w:rsidR="00EA5956" w:rsidRPr="009F6801" w:rsidRDefault="008033A6" w:rsidP="00876C4A">
            <w:pPr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Upravna kultura; Okolina upravnih organizacija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5863" w14:textId="7081FAB1" w:rsidR="00EA5956" w:rsidRPr="009F6801" w:rsidRDefault="008033A6" w:rsidP="00876C4A">
            <w:pPr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T. Vukojičić Tomić</w:t>
            </w:r>
          </w:p>
        </w:tc>
      </w:tr>
      <w:tr w:rsidR="00EA5956" w:rsidRPr="009F6801" w14:paraId="229B2B26" w14:textId="77777777" w:rsidTr="00B83F2B">
        <w:trPr>
          <w:trHeight w:val="4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B17F" w14:textId="35E16FCC" w:rsidR="00EA5956" w:rsidRPr="009F6801" w:rsidRDefault="00902993" w:rsidP="009F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EA5956" w:rsidRPr="009F6801">
              <w:rPr>
                <w:rFonts w:ascii="Arial" w:hAnsi="Arial" w:cs="Arial"/>
                <w:sz w:val="20"/>
                <w:szCs w:val="20"/>
              </w:rPr>
              <w:t>.</w:t>
            </w:r>
            <w:r w:rsidR="009F6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956" w:rsidRPr="009F680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1235" w14:textId="79D715EE" w:rsidR="00EA5956" w:rsidRPr="009F6801" w:rsidRDefault="008033A6" w:rsidP="00876C4A">
            <w:pPr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Javni i privatni sektor; Javni menadžment i tradicionalna upravna djelatnost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F6801">
              <w:rPr>
                <w:rFonts w:ascii="Arial" w:hAnsi="Arial" w:cs="Arial"/>
                <w:sz w:val="20"/>
                <w:szCs w:val="20"/>
              </w:rPr>
              <w:t>Planiranje u upravi; Vođenje i odlučivanje u upravi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33027" w14:textId="65AF5EF7" w:rsidR="00EA5956" w:rsidRPr="009F6801" w:rsidRDefault="00107499" w:rsidP="00876C4A">
            <w:pPr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T. Vukojičić Tomić</w:t>
            </w:r>
          </w:p>
        </w:tc>
      </w:tr>
      <w:tr w:rsidR="00EA5956" w:rsidRPr="009F6801" w14:paraId="68DCD38D" w14:textId="77777777" w:rsidTr="00B83F2B">
        <w:trPr>
          <w:trHeight w:val="4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28B2" w14:textId="62DE6DC5" w:rsidR="00EA5956" w:rsidRPr="009F6801" w:rsidRDefault="00902993" w:rsidP="00876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EA5956" w:rsidRPr="009F6801">
              <w:rPr>
                <w:rFonts w:ascii="Arial" w:hAnsi="Arial" w:cs="Arial"/>
                <w:sz w:val="20"/>
                <w:szCs w:val="20"/>
              </w:rPr>
              <w:t>.</w:t>
            </w:r>
            <w:r w:rsidR="009F68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A5956" w:rsidRPr="009F680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10FB" w14:textId="7D2E906A" w:rsidR="00EA5956" w:rsidRPr="009F6801" w:rsidRDefault="008033A6" w:rsidP="00876C4A">
            <w:pPr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Komuniciranje u upravi; Standardizacija postupanja; Nadzor u upravi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1844" w14:textId="23563435" w:rsidR="00EA5956" w:rsidRPr="009F6801" w:rsidRDefault="008033A6" w:rsidP="00DC3CF5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T. Vukojičić Tomić</w:t>
            </w:r>
          </w:p>
        </w:tc>
      </w:tr>
      <w:tr w:rsidR="00EA5956" w:rsidRPr="009F6801" w14:paraId="2D2898CC" w14:textId="77777777" w:rsidTr="00B83F2B">
        <w:trPr>
          <w:trHeight w:val="4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CAE46" w14:textId="350BCE2B" w:rsidR="00EA5956" w:rsidRPr="009F6801" w:rsidRDefault="00902993" w:rsidP="009F6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A5956" w:rsidRPr="009F6801">
              <w:rPr>
                <w:rFonts w:ascii="Arial" w:hAnsi="Arial" w:cs="Arial"/>
                <w:sz w:val="20"/>
                <w:szCs w:val="20"/>
              </w:rPr>
              <w:t>.</w:t>
            </w:r>
            <w:r w:rsidR="009F6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956" w:rsidRPr="009F680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2E44" w14:textId="77777777" w:rsidR="00C43F78" w:rsidRPr="006A1A1A" w:rsidRDefault="00C43F78" w:rsidP="00C43F78">
            <w:pPr>
              <w:spacing w:after="120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6A1A1A">
              <w:rPr>
                <w:rFonts w:ascii="Arial" w:hAnsi="Arial" w:cs="Arial"/>
                <w:iCs/>
                <w:noProof/>
                <w:sz w:val="20"/>
                <w:szCs w:val="20"/>
              </w:rPr>
              <w:t>Vježbe i priprema za kolokvij (</w:t>
            </w:r>
            <w:r w:rsidRPr="006A1A1A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ONLINE</w:t>
            </w:r>
            <w:r w:rsidRPr="006A1A1A">
              <w:rPr>
                <w:rFonts w:ascii="Arial" w:hAnsi="Arial" w:cs="Arial"/>
                <w:iCs/>
                <w:noProof/>
                <w:sz w:val="20"/>
                <w:szCs w:val="20"/>
              </w:rPr>
              <w:t>)</w:t>
            </w:r>
          </w:p>
          <w:p w14:paraId="4DA69C67" w14:textId="28B1A618" w:rsidR="00C43F78" w:rsidRPr="000F420F" w:rsidRDefault="00C43F78" w:rsidP="00C43F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A1A1A">
              <w:rPr>
                <w:rFonts w:ascii="Arial" w:hAnsi="Arial" w:cs="Arial"/>
                <w:iCs/>
                <w:noProof/>
                <w:color w:val="FF0000"/>
                <w:sz w:val="20"/>
                <w:szCs w:val="20"/>
              </w:rPr>
              <w:t>- redovni i izvanredni studenti zajedno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D6D7" w14:textId="75F67DE4" w:rsidR="00EA5956" w:rsidRPr="009F6801" w:rsidRDefault="002557F9" w:rsidP="00876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Lopižić</w:t>
            </w:r>
            <w:proofErr w:type="spellEnd"/>
          </w:p>
        </w:tc>
      </w:tr>
      <w:tr w:rsidR="00EA5956" w:rsidRPr="009F6801" w14:paraId="032541B1" w14:textId="77777777" w:rsidTr="00B83F2B">
        <w:trPr>
          <w:trHeight w:val="4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A7C6" w14:textId="44AF4853" w:rsidR="00EA5956" w:rsidRPr="009F6801" w:rsidRDefault="00902993" w:rsidP="00876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A5956" w:rsidRPr="009F6801">
              <w:rPr>
                <w:rFonts w:ascii="Arial" w:hAnsi="Arial" w:cs="Arial"/>
                <w:sz w:val="20"/>
                <w:szCs w:val="20"/>
              </w:rPr>
              <w:t>.</w:t>
            </w:r>
            <w:r w:rsidR="009F6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956" w:rsidRPr="009F680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CF4C" w14:textId="616F50E4" w:rsidR="00C43F78" w:rsidRPr="006A1A1A" w:rsidRDefault="00C43F78" w:rsidP="00C43F78">
            <w:pPr>
              <w:spacing w:after="120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6A1A1A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I kolokvij</w:t>
            </w:r>
            <w:r w:rsidR="006949DD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</w:t>
            </w:r>
          </w:p>
          <w:p w14:paraId="41830C5B" w14:textId="12D26BF5" w:rsidR="00C43F78" w:rsidRPr="009F6801" w:rsidRDefault="00C43F78" w:rsidP="00C43F78">
            <w:pPr>
              <w:rPr>
                <w:rFonts w:ascii="Arial" w:hAnsi="Arial" w:cs="Arial"/>
                <w:sz w:val="20"/>
                <w:szCs w:val="20"/>
              </w:rPr>
            </w:pPr>
            <w:r w:rsidRPr="006A1A1A">
              <w:rPr>
                <w:rFonts w:ascii="Arial" w:hAnsi="Arial" w:cs="Arial"/>
                <w:iCs/>
                <w:noProof/>
                <w:color w:val="FF0000"/>
                <w:sz w:val="20"/>
                <w:szCs w:val="20"/>
              </w:rPr>
              <w:t>- redovni i izvanredni studenti zajedno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C617" w14:textId="00C11E0D" w:rsidR="00EA5956" w:rsidRPr="009F6801" w:rsidRDefault="002D2D8B" w:rsidP="00DC3CF5">
            <w:pPr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T. Vukojičić Tomić</w:t>
            </w:r>
          </w:p>
        </w:tc>
      </w:tr>
      <w:tr w:rsidR="00EA5956" w:rsidRPr="009F6801" w14:paraId="55A988B7" w14:textId="77777777" w:rsidTr="00B83F2B">
        <w:trPr>
          <w:trHeight w:val="4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5D4E7" w14:textId="09BDDE18" w:rsidR="00EA5956" w:rsidRPr="009F6801" w:rsidRDefault="00902993" w:rsidP="00900F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EA5956" w:rsidRPr="009F6801">
              <w:rPr>
                <w:rFonts w:ascii="Arial" w:hAnsi="Arial" w:cs="Arial"/>
                <w:sz w:val="20"/>
                <w:szCs w:val="20"/>
              </w:rPr>
              <w:t>.</w:t>
            </w:r>
            <w:r w:rsidR="009F68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A5956" w:rsidRPr="009F68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58533" w14:textId="4357BB11" w:rsidR="00EA5956" w:rsidRPr="009F6801" w:rsidRDefault="00107499" w:rsidP="00B272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 xml:space="preserve">Službenici kroz povijest i u suvremeno doba; Profesionalizacija i </w:t>
            </w:r>
            <w:proofErr w:type="spellStart"/>
            <w:r w:rsidRPr="009F6801">
              <w:rPr>
                <w:rFonts w:ascii="Arial" w:hAnsi="Arial" w:cs="Arial"/>
                <w:sz w:val="20"/>
                <w:szCs w:val="20"/>
              </w:rPr>
              <w:t>merit</w:t>
            </w:r>
            <w:proofErr w:type="spellEnd"/>
            <w:r w:rsidRPr="009F6801">
              <w:rPr>
                <w:rFonts w:ascii="Arial" w:hAnsi="Arial" w:cs="Arial"/>
                <w:sz w:val="20"/>
                <w:szCs w:val="20"/>
              </w:rPr>
              <w:t xml:space="preserve"> sustav; Etika javnih službenika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D9DC" w14:textId="42170F0A" w:rsidR="00EA5956" w:rsidRPr="009F6801" w:rsidRDefault="0074188A" w:rsidP="0091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Giljević</w:t>
            </w:r>
            <w:proofErr w:type="spellEnd"/>
          </w:p>
        </w:tc>
      </w:tr>
      <w:tr w:rsidR="005C09E0" w:rsidRPr="009F6801" w14:paraId="71DC8DED" w14:textId="77777777" w:rsidTr="00B83F2B">
        <w:trPr>
          <w:trHeight w:val="4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AC5F" w14:textId="3003D6C8" w:rsidR="005C09E0" w:rsidRPr="009F6801" w:rsidRDefault="00902993" w:rsidP="00876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C09E0" w:rsidRPr="009F6801">
              <w:rPr>
                <w:rFonts w:ascii="Arial" w:hAnsi="Arial" w:cs="Arial"/>
                <w:sz w:val="20"/>
                <w:szCs w:val="20"/>
              </w:rPr>
              <w:t>.</w:t>
            </w:r>
            <w:r w:rsidR="009F6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9E0" w:rsidRPr="009F680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94D3" w14:textId="6E2F277D" w:rsidR="005C09E0" w:rsidRPr="009F6801" w:rsidRDefault="00107499" w:rsidP="00876C4A">
            <w:pPr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Pojam javnog službenika i kategorije zaposlenih u javnoj upravi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3419" w14:textId="3068EF21" w:rsidR="005C09E0" w:rsidRPr="009F6801" w:rsidRDefault="00F06A50" w:rsidP="00876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Giljević</w:t>
            </w:r>
            <w:proofErr w:type="spellEnd"/>
          </w:p>
        </w:tc>
      </w:tr>
      <w:tr w:rsidR="005C09E0" w:rsidRPr="009F6801" w14:paraId="5497426D" w14:textId="77777777" w:rsidTr="00B83F2B">
        <w:trPr>
          <w:trHeight w:val="2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BE33" w14:textId="038E0FD6" w:rsidR="005C09E0" w:rsidRPr="009F6801" w:rsidRDefault="00900F5B" w:rsidP="003C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2993">
              <w:rPr>
                <w:rFonts w:ascii="Arial" w:hAnsi="Arial" w:cs="Arial"/>
                <w:sz w:val="20"/>
                <w:szCs w:val="20"/>
              </w:rPr>
              <w:t>0</w:t>
            </w:r>
            <w:r w:rsidR="005C09E0" w:rsidRPr="009F6801">
              <w:rPr>
                <w:rFonts w:ascii="Arial" w:hAnsi="Arial" w:cs="Arial"/>
                <w:sz w:val="20"/>
                <w:szCs w:val="20"/>
              </w:rPr>
              <w:t>.</w:t>
            </w:r>
            <w:r w:rsidR="009F6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9E0" w:rsidRPr="009F680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832C" w14:textId="3D1D9E89" w:rsidR="00C43F78" w:rsidRPr="009F6801" w:rsidRDefault="00107499" w:rsidP="00C43F78">
            <w:pPr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Upravne reforme; Učinci suvremenih menadžerskih reformi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DDE4" w14:textId="3457B9F9" w:rsidR="005C09E0" w:rsidRPr="009F6801" w:rsidRDefault="008033A6" w:rsidP="00876C4A">
            <w:pPr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T. Vukojičić Tomić</w:t>
            </w:r>
          </w:p>
        </w:tc>
      </w:tr>
      <w:tr w:rsidR="005C09E0" w:rsidRPr="009F6801" w14:paraId="40BC52F4" w14:textId="77777777" w:rsidTr="00B83F2B">
        <w:trPr>
          <w:trHeight w:val="2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C3E31" w14:textId="17042B73" w:rsidR="008033A6" w:rsidRPr="009F6801" w:rsidRDefault="00902993" w:rsidP="008F4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5C09E0" w:rsidRPr="009F6801">
              <w:rPr>
                <w:rFonts w:ascii="Arial" w:hAnsi="Arial" w:cs="Arial"/>
                <w:sz w:val="20"/>
                <w:szCs w:val="20"/>
              </w:rPr>
              <w:t>.</w:t>
            </w:r>
            <w:r w:rsidR="009F6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9E0" w:rsidRPr="009F680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61A5" w14:textId="77777777" w:rsidR="00C43F78" w:rsidRPr="006A1A1A" w:rsidRDefault="00C43F78" w:rsidP="00C43F78">
            <w:pPr>
              <w:spacing w:after="120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6A1A1A">
              <w:rPr>
                <w:rFonts w:ascii="Arial" w:hAnsi="Arial" w:cs="Arial"/>
                <w:iCs/>
                <w:noProof/>
                <w:sz w:val="20"/>
                <w:szCs w:val="20"/>
              </w:rPr>
              <w:t>Vježbe i priprema za kolokvij (</w:t>
            </w:r>
            <w:r w:rsidRPr="006A1A1A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ONLINE</w:t>
            </w:r>
            <w:r w:rsidRPr="006A1A1A">
              <w:rPr>
                <w:rFonts w:ascii="Arial" w:hAnsi="Arial" w:cs="Arial"/>
                <w:iCs/>
                <w:noProof/>
                <w:sz w:val="20"/>
                <w:szCs w:val="20"/>
              </w:rPr>
              <w:t>)</w:t>
            </w:r>
          </w:p>
          <w:p w14:paraId="214ABB8A" w14:textId="4A7BEF93" w:rsidR="00BA5181" w:rsidRPr="00C43F78" w:rsidRDefault="00C43F78" w:rsidP="00C43F78">
            <w:pPr>
              <w:rPr>
                <w:rFonts w:ascii="Arial" w:hAnsi="Arial" w:cs="Arial"/>
                <w:sz w:val="20"/>
                <w:szCs w:val="20"/>
              </w:rPr>
            </w:pPr>
            <w:r w:rsidRPr="006A1A1A">
              <w:rPr>
                <w:rFonts w:ascii="Arial" w:hAnsi="Arial" w:cs="Arial"/>
                <w:iCs/>
                <w:noProof/>
                <w:color w:val="FF0000"/>
                <w:sz w:val="20"/>
                <w:szCs w:val="20"/>
              </w:rPr>
              <w:lastRenderedPageBreak/>
              <w:t>- redovni i izvanredni studenti zajedno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5986" w14:textId="6C0BD526" w:rsidR="005C09E0" w:rsidRPr="009F6801" w:rsidRDefault="00C43F78" w:rsidP="00876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Lopižić</w:t>
            </w:r>
            <w:proofErr w:type="spellEnd"/>
          </w:p>
        </w:tc>
      </w:tr>
      <w:tr w:rsidR="00C43F78" w:rsidRPr="009F6801" w14:paraId="24C888D0" w14:textId="77777777" w:rsidTr="00B83F2B">
        <w:trPr>
          <w:trHeight w:val="2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4D20" w14:textId="248654E2" w:rsidR="00C43F78" w:rsidRDefault="00C43F78" w:rsidP="008F4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  <w:r w:rsidR="008033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1C2A" w14:textId="067F2109" w:rsidR="00C43F78" w:rsidRPr="00C43F78" w:rsidRDefault="00C43F78" w:rsidP="00C43F7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3F78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C43F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kolokvij</w:t>
            </w:r>
            <w:r w:rsidR="008033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781A5A8" w14:textId="1FE06268" w:rsidR="00C43F78" w:rsidRPr="00C43F78" w:rsidRDefault="00C43F78" w:rsidP="00C43F7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3F78">
              <w:rPr>
                <w:rFonts w:ascii="Arial" w:hAnsi="Arial" w:cs="Arial"/>
                <w:color w:val="FF0000"/>
                <w:sz w:val="20"/>
                <w:szCs w:val="20"/>
              </w:rPr>
              <w:t>- redovni i izvanredni studenti zajedno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007D" w14:textId="2BF1C8DA" w:rsidR="00C43F78" w:rsidRPr="009F6801" w:rsidRDefault="00C43F78" w:rsidP="00876C4A">
            <w:pPr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T. Vukojičić Tomić</w:t>
            </w:r>
          </w:p>
        </w:tc>
      </w:tr>
    </w:tbl>
    <w:p w14:paraId="4DCCDBD4" w14:textId="77777777" w:rsidR="0036109E" w:rsidRDefault="0036109E">
      <w:pPr>
        <w:rPr>
          <w:rFonts w:ascii="Arial" w:hAnsi="Arial" w:cs="Arial"/>
          <w:b/>
          <w:sz w:val="20"/>
          <w:szCs w:val="20"/>
          <w:u w:val="single"/>
        </w:rPr>
      </w:pPr>
    </w:p>
    <w:p w14:paraId="1488EB33" w14:textId="0382D061" w:rsidR="00066976" w:rsidRPr="009F6801" w:rsidRDefault="00066976" w:rsidP="0036109E">
      <w:pPr>
        <w:spacing w:before="120"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F6801">
        <w:rPr>
          <w:rFonts w:ascii="Arial" w:hAnsi="Arial" w:cs="Arial"/>
          <w:b/>
          <w:sz w:val="20"/>
          <w:szCs w:val="20"/>
          <w:u w:val="single"/>
        </w:rPr>
        <w:t>IZVANREDNI STUDENTI</w:t>
      </w:r>
    </w:p>
    <w:p w14:paraId="57A13CB7" w14:textId="30149452" w:rsidR="00B83F2B" w:rsidRPr="009F6801" w:rsidRDefault="00B83F2B" w:rsidP="00B83F2B">
      <w:pPr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5110"/>
        <w:gridCol w:w="1989"/>
      </w:tblGrid>
      <w:tr w:rsidR="00B83F2B" w:rsidRPr="009F6801" w14:paraId="48B5B4A8" w14:textId="5C402A97" w:rsidTr="00885F6C">
        <w:tc>
          <w:tcPr>
            <w:tcW w:w="1191" w:type="dxa"/>
          </w:tcPr>
          <w:p w14:paraId="42E46EE3" w14:textId="080B2D71" w:rsidR="00B83F2B" w:rsidRPr="009F6801" w:rsidRDefault="00B83F2B" w:rsidP="00660231">
            <w:pPr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5110" w:type="dxa"/>
          </w:tcPr>
          <w:p w14:paraId="45F45034" w14:textId="77777777" w:rsidR="00B83F2B" w:rsidRPr="009F6801" w:rsidRDefault="00B83F2B" w:rsidP="0089766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F6801">
              <w:rPr>
                <w:rFonts w:ascii="Arial" w:hAnsi="Arial" w:cs="Arial"/>
                <w:b/>
                <w:noProof/>
                <w:sz w:val="20"/>
                <w:szCs w:val="20"/>
              </w:rPr>
              <w:t>Tema</w:t>
            </w:r>
          </w:p>
        </w:tc>
        <w:tc>
          <w:tcPr>
            <w:tcW w:w="1989" w:type="dxa"/>
          </w:tcPr>
          <w:p w14:paraId="24AEC4B7" w14:textId="5FE4E15D" w:rsidR="00B83F2B" w:rsidRPr="009F6801" w:rsidRDefault="00B83F2B" w:rsidP="0089766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F680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Nastavnik </w:t>
            </w:r>
          </w:p>
        </w:tc>
      </w:tr>
      <w:tr w:rsidR="006949DD" w:rsidRPr="009F6801" w14:paraId="4A895215" w14:textId="5B7034A7" w:rsidTr="00370A99">
        <w:tc>
          <w:tcPr>
            <w:tcW w:w="1191" w:type="dxa"/>
            <w:vAlign w:val="center"/>
          </w:tcPr>
          <w:p w14:paraId="0E3F7B63" w14:textId="16D9E76A" w:rsidR="006949DD" w:rsidRPr="009F6801" w:rsidRDefault="006949DD" w:rsidP="00694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F6801">
              <w:rPr>
                <w:rFonts w:ascii="Arial" w:hAnsi="Arial" w:cs="Arial"/>
                <w:sz w:val="20"/>
                <w:szCs w:val="20"/>
              </w:rPr>
              <w:t>. 3.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1284" w14:textId="765789C7" w:rsidR="006949DD" w:rsidRPr="009F6801" w:rsidRDefault="006949DD" w:rsidP="006949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Organizacija i njezino mjesto u razvoju kooperativnih sustava; Organizacijska struktura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F6801">
              <w:rPr>
                <w:rFonts w:ascii="Arial" w:hAnsi="Arial" w:cs="Arial"/>
                <w:sz w:val="20"/>
                <w:szCs w:val="20"/>
              </w:rPr>
              <w:t xml:space="preserve"> Razvoj teorije organizacije</w:t>
            </w:r>
          </w:p>
        </w:tc>
        <w:tc>
          <w:tcPr>
            <w:tcW w:w="1989" w:type="dxa"/>
          </w:tcPr>
          <w:p w14:paraId="7AA0D00B" w14:textId="40D5FC32" w:rsidR="006949DD" w:rsidRPr="009F6801" w:rsidRDefault="0074188A" w:rsidP="006949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Džinić</w:t>
            </w:r>
            <w:proofErr w:type="spellEnd"/>
          </w:p>
        </w:tc>
      </w:tr>
      <w:tr w:rsidR="006949DD" w:rsidRPr="009F6801" w14:paraId="04B56B63" w14:textId="77777777" w:rsidTr="00370A99">
        <w:tc>
          <w:tcPr>
            <w:tcW w:w="1191" w:type="dxa"/>
            <w:vAlign w:val="center"/>
          </w:tcPr>
          <w:p w14:paraId="2D5CEE90" w14:textId="408F79F1" w:rsidR="006949DD" w:rsidRDefault="006949DD" w:rsidP="006949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F6801">
              <w:rPr>
                <w:rFonts w:ascii="Arial" w:hAnsi="Arial" w:cs="Arial"/>
                <w:sz w:val="20"/>
                <w:szCs w:val="20"/>
              </w:rPr>
              <w:t>. 3.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DF6E" w14:textId="135C75E6" w:rsidR="006949DD" w:rsidRPr="009F6801" w:rsidRDefault="006949DD" w:rsidP="006949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Proces organiziranja; Razvoj i liječenje organizacije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8033A6" w:rsidRPr="009F6801">
              <w:rPr>
                <w:rFonts w:ascii="Arial" w:hAnsi="Arial" w:cs="Arial"/>
                <w:sz w:val="20"/>
                <w:szCs w:val="20"/>
              </w:rPr>
              <w:t>Razvoj upravne strukture; Razvoj upravne tehnologije</w:t>
            </w:r>
          </w:p>
        </w:tc>
        <w:tc>
          <w:tcPr>
            <w:tcW w:w="1989" w:type="dxa"/>
          </w:tcPr>
          <w:p w14:paraId="5DE065FC" w14:textId="42E2FFA1" w:rsidR="006949DD" w:rsidRDefault="0074188A" w:rsidP="006949D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T. Vukojičić Tomić</w:t>
            </w:r>
          </w:p>
        </w:tc>
      </w:tr>
      <w:tr w:rsidR="008033A6" w:rsidRPr="009F6801" w14:paraId="73A38E33" w14:textId="77777777" w:rsidTr="00155871">
        <w:tc>
          <w:tcPr>
            <w:tcW w:w="1191" w:type="dxa"/>
            <w:vAlign w:val="center"/>
          </w:tcPr>
          <w:p w14:paraId="35E8B654" w14:textId="5B45E160" w:rsidR="008033A6" w:rsidRDefault="008033A6" w:rsidP="008033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9F680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80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7674" w14:textId="1E5345D6" w:rsidR="008033A6" w:rsidRPr="009F6801" w:rsidRDefault="008033A6" w:rsidP="008033A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Upravna kultura; Okolina upravnih organizacija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F6801">
              <w:rPr>
                <w:rFonts w:ascii="Arial" w:hAnsi="Arial" w:cs="Arial"/>
                <w:sz w:val="20"/>
                <w:szCs w:val="20"/>
              </w:rPr>
              <w:t>Javni i privatni sektor; Javni menadžment i tradicionalna upravna djelatnost</w:t>
            </w:r>
          </w:p>
        </w:tc>
        <w:tc>
          <w:tcPr>
            <w:tcW w:w="1989" w:type="dxa"/>
          </w:tcPr>
          <w:p w14:paraId="227813FD" w14:textId="1975A25A" w:rsidR="008033A6" w:rsidRDefault="0074188A" w:rsidP="008033A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T. Vukojičić Tomić</w:t>
            </w:r>
          </w:p>
        </w:tc>
      </w:tr>
      <w:tr w:rsidR="008033A6" w:rsidRPr="009F6801" w14:paraId="0A20565D" w14:textId="77777777" w:rsidTr="004906B7">
        <w:tc>
          <w:tcPr>
            <w:tcW w:w="1191" w:type="dxa"/>
            <w:vAlign w:val="center"/>
          </w:tcPr>
          <w:p w14:paraId="2B8BD7C1" w14:textId="22E3FD03" w:rsidR="008033A6" w:rsidRDefault="008033A6" w:rsidP="008033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9F680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80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C59B" w14:textId="33B26A8B" w:rsidR="008033A6" w:rsidRPr="009F6801" w:rsidRDefault="008033A6" w:rsidP="008033A6">
            <w:pPr>
              <w:rPr>
                <w:rFonts w:ascii="Arial" w:hAnsi="Arial" w:cs="Arial"/>
                <w:sz w:val="20"/>
                <w:szCs w:val="20"/>
              </w:rPr>
            </w:pPr>
            <w:r w:rsidRPr="008033A6">
              <w:rPr>
                <w:rFonts w:ascii="Arial" w:hAnsi="Arial" w:cs="Arial"/>
                <w:sz w:val="20"/>
                <w:szCs w:val="20"/>
              </w:rPr>
              <w:t>Planiranje u upravi; Vođenje i odlučivanje u upravi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F6801">
              <w:rPr>
                <w:rFonts w:ascii="Arial" w:hAnsi="Arial" w:cs="Arial"/>
                <w:sz w:val="20"/>
                <w:szCs w:val="20"/>
              </w:rPr>
              <w:t>Komuniciranje u upravi; Standardizacija postupanja; Nadzor u upravi</w:t>
            </w:r>
          </w:p>
        </w:tc>
        <w:tc>
          <w:tcPr>
            <w:tcW w:w="1989" w:type="dxa"/>
          </w:tcPr>
          <w:p w14:paraId="00099185" w14:textId="50E20886" w:rsidR="008033A6" w:rsidRDefault="0074188A" w:rsidP="008033A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T. Vukojičić Tomić</w:t>
            </w:r>
          </w:p>
        </w:tc>
      </w:tr>
      <w:tr w:rsidR="008033A6" w:rsidRPr="009F6801" w14:paraId="56908FF0" w14:textId="77777777" w:rsidTr="00447267">
        <w:tc>
          <w:tcPr>
            <w:tcW w:w="1191" w:type="dxa"/>
            <w:vAlign w:val="center"/>
          </w:tcPr>
          <w:p w14:paraId="4A5E2A40" w14:textId="1F6E2D77" w:rsidR="008033A6" w:rsidRDefault="008033A6" w:rsidP="008033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9F680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9F680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C17A" w14:textId="03096B25" w:rsidR="008033A6" w:rsidRPr="009F6801" w:rsidRDefault="008033A6" w:rsidP="008033A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 xml:space="preserve">Službenici kroz povijest i u suvremeno doba; Profesionalizacija i </w:t>
            </w:r>
            <w:proofErr w:type="spellStart"/>
            <w:r w:rsidRPr="009F6801">
              <w:rPr>
                <w:rFonts w:ascii="Arial" w:hAnsi="Arial" w:cs="Arial"/>
                <w:sz w:val="20"/>
                <w:szCs w:val="20"/>
              </w:rPr>
              <w:t>merit</w:t>
            </w:r>
            <w:proofErr w:type="spellEnd"/>
            <w:r w:rsidRPr="009F6801">
              <w:rPr>
                <w:rFonts w:ascii="Arial" w:hAnsi="Arial" w:cs="Arial"/>
                <w:sz w:val="20"/>
                <w:szCs w:val="20"/>
              </w:rPr>
              <w:t xml:space="preserve"> sustav; Etika javnih službenika</w:t>
            </w:r>
            <w:r w:rsidR="0074188A">
              <w:rPr>
                <w:rFonts w:ascii="Arial" w:hAnsi="Arial" w:cs="Arial"/>
                <w:sz w:val="20"/>
                <w:szCs w:val="20"/>
              </w:rPr>
              <w:t>;</w:t>
            </w:r>
            <w:r w:rsidR="0074188A" w:rsidRPr="009F6801">
              <w:rPr>
                <w:rFonts w:ascii="Arial" w:hAnsi="Arial" w:cs="Arial"/>
                <w:sz w:val="20"/>
                <w:szCs w:val="20"/>
              </w:rPr>
              <w:t xml:space="preserve"> Pojam javnog službenika i kategorije zaposlenih u javnoj upravi</w:t>
            </w:r>
          </w:p>
        </w:tc>
        <w:tc>
          <w:tcPr>
            <w:tcW w:w="1989" w:type="dxa"/>
          </w:tcPr>
          <w:p w14:paraId="08163233" w14:textId="7010234B" w:rsidR="0074188A" w:rsidRDefault="0074188A" w:rsidP="008033A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Lopižić</w:t>
            </w:r>
            <w:proofErr w:type="spellEnd"/>
          </w:p>
        </w:tc>
      </w:tr>
      <w:tr w:rsidR="008033A6" w:rsidRPr="009F6801" w14:paraId="64A8B82A" w14:textId="77777777" w:rsidTr="00AC7834">
        <w:tc>
          <w:tcPr>
            <w:tcW w:w="1191" w:type="dxa"/>
            <w:vAlign w:val="center"/>
          </w:tcPr>
          <w:p w14:paraId="21E4DB09" w14:textId="37AE09C3" w:rsidR="008033A6" w:rsidRDefault="008033A6" w:rsidP="008033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F680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9F68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B79E" w14:textId="4FA8327D" w:rsidR="008033A6" w:rsidRPr="009F6801" w:rsidRDefault="0074188A" w:rsidP="008033A6">
            <w:pPr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Upravne reforme; Učinci suvremenih menadžerskih reformi</w:t>
            </w:r>
          </w:p>
        </w:tc>
        <w:tc>
          <w:tcPr>
            <w:tcW w:w="1989" w:type="dxa"/>
          </w:tcPr>
          <w:p w14:paraId="00980FF4" w14:textId="67C67ABA" w:rsidR="008033A6" w:rsidRDefault="0074188A" w:rsidP="008033A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F6801">
              <w:rPr>
                <w:rFonts w:ascii="Arial" w:hAnsi="Arial" w:cs="Arial"/>
                <w:sz w:val="20"/>
                <w:szCs w:val="20"/>
              </w:rPr>
              <w:t>T. Vukojičić Tomić</w:t>
            </w:r>
          </w:p>
        </w:tc>
      </w:tr>
    </w:tbl>
    <w:p w14:paraId="02098A7E" w14:textId="77777777" w:rsidR="00C55802" w:rsidRDefault="00C55802" w:rsidP="00C55802">
      <w:pPr>
        <w:tabs>
          <w:tab w:val="left" w:pos="1875"/>
        </w:tabs>
        <w:rPr>
          <w:rFonts w:ascii="Arial" w:hAnsi="Arial" w:cs="Arial"/>
          <w:sz w:val="20"/>
          <w:szCs w:val="20"/>
        </w:rPr>
      </w:pPr>
    </w:p>
    <w:p w14:paraId="41ADB12C" w14:textId="77777777" w:rsidR="00C55802" w:rsidRDefault="00C55802" w:rsidP="00C55802">
      <w:pPr>
        <w:tabs>
          <w:tab w:val="left" w:pos="1875"/>
        </w:tabs>
        <w:rPr>
          <w:rFonts w:ascii="Arial" w:hAnsi="Arial" w:cs="Arial"/>
          <w:sz w:val="20"/>
          <w:szCs w:val="20"/>
        </w:rPr>
      </w:pPr>
    </w:p>
    <w:p w14:paraId="66CC1354" w14:textId="4312C21D" w:rsidR="00C55802" w:rsidRPr="00C55802" w:rsidRDefault="00C55802" w:rsidP="00C55802">
      <w:pPr>
        <w:tabs>
          <w:tab w:val="left" w:pos="1875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C55802">
        <w:rPr>
          <w:rFonts w:ascii="Arial" w:hAnsi="Arial" w:cs="Arial"/>
          <w:b/>
          <w:bCs/>
          <w:sz w:val="20"/>
          <w:szCs w:val="20"/>
          <w:u w:val="single"/>
        </w:rPr>
        <w:t>Kolokvij u akademskoj godini 2021. - 2022.</w:t>
      </w:r>
    </w:p>
    <w:p w14:paraId="3E0E6D89" w14:textId="07A1B540" w:rsidR="00C55802" w:rsidRPr="00C55802" w:rsidRDefault="00C55802" w:rsidP="00C55802">
      <w:pPr>
        <w:tabs>
          <w:tab w:val="left" w:pos="1875"/>
        </w:tabs>
        <w:jc w:val="both"/>
        <w:rPr>
          <w:rFonts w:ascii="Arial" w:hAnsi="Arial" w:cs="Arial"/>
          <w:sz w:val="20"/>
          <w:szCs w:val="20"/>
        </w:rPr>
      </w:pPr>
      <w:r w:rsidRPr="00C55802">
        <w:rPr>
          <w:rFonts w:ascii="Arial" w:hAnsi="Arial" w:cs="Arial"/>
          <w:sz w:val="20"/>
          <w:szCs w:val="20"/>
        </w:rPr>
        <w:t>1. Uvjeti za izlazak na kolokvij</w:t>
      </w:r>
    </w:p>
    <w:p w14:paraId="4A8CE973" w14:textId="2CC8DC50" w:rsidR="00C55802" w:rsidRPr="00C55802" w:rsidRDefault="00C55802" w:rsidP="00C55802">
      <w:pPr>
        <w:tabs>
          <w:tab w:val="left" w:pos="1875"/>
        </w:tabs>
        <w:jc w:val="both"/>
        <w:rPr>
          <w:rFonts w:ascii="Arial" w:hAnsi="Arial" w:cs="Arial"/>
          <w:sz w:val="20"/>
          <w:szCs w:val="20"/>
        </w:rPr>
      </w:pPr>
      <w:r w:rsidRPr="00C55802">
        <w:rPr>
          <w:rFonts w:ascii="Arial" w:hAnsi="Arial" w:cs="Arial"/>
          <w:sz w:val="20"/>
          <w:szCs w:val="20"/>
        </w:rPr>
        <w:t>Za studente koji redovito pohađaju nastavu održavaju se dva kolokvija. Pravo pristupiti prvom kolokviju (</w:t>
      </w:r>
      <w:r>
        <w:rPr>
          <w:rFonts w:ascii="Arial" w:hAnsi="Arial" w:cs="Arial"/>
          <w:sz w:val="20"/>
          <w:szCs w:val="20"/>
        </w:rPr>
        <w:t>12</w:t>
      </w:r>
      <w:r w:rsidRPr="00C558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travnja</w:t>
      </w:r>
      <w:r w:rsidRPr="00C55802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  <w:r w:rsidRPr="00C55802">
        <w:rPr>
          <w:rFonts w:ascii="Arial" w:hAnsi="Arial" w:cs="Arial"/>
          <w:sz w:val="20"/>
          <w:szCs w:val="20"/>
        </w:rPr>
        <w:t xml:space="preserve">.) imaju redoviti </w:t>
      </w:r>
      <w:r>
        <w:rPr>
          <w:rFonts w:ascii="Arial" w:hAnsi="Arial" w:cs="Arial"/>
          <w:sz w:val="20"/>
          <w:szCs w:val="20"/>
        </w:rPr>
        <w:t xml:space="preserve">i izvanredni </w:t>
      </w:r>
      <w:r w:rsidRPr="00C55802">
        <w:rPr>
          <w:rFonts w:ascii="Arial" w:hAnsi="Arial" w:cs="Arial"/>
          <w:sz w:val="20"/>
          <w:szCs w:val="20"/>
        </w:rPr>
        <w:t>studenti</w:t>
      </w:r>
      <w:r w:rsidR="00636BAE">
        <w:rPr>
          <w:rFonts w:ascii="Arial" w:hAnsi="Arial" w:cs="Arial"/>
          <w:sz w:val="20"/>
          <w:szCs w:val="20"/>
        </w:rPr>
        <w:t xml:space="preserve">. </w:t>
      </w:r>
      <w:r w:rsidRPr="00C55802">
        <w:rPr>
          <w:rFonts w:ascii="Arial" w:hAnsi="Arial" w:cs="Arial"/>
          <w:sz w:val="20"/>
          <w:szCs w:val="20"/>
        </w:rPr>
        <w:t>Uvjet za izlazak na drugi kolokvij (</w:t>
      </w:r>
      <w:r w:rsidR="00636BAE">
        <w:rPr>
          <w:rFonts w:ascii="Arial" w:hAnsi="Arial" w:cs="Arial"/>
          <w:sz w:val="20"/>
          <w:szCs w:val="20"/>
        </w:rPr>
        <w:t>24</w:t>
      </w:r>
      <w:r w:rsidRPr="00C55802">
        <w:rPr>
          <w:rFonts w:ascii="Arial" w:hAnsi="Arial" w:cs="Arial"/>
          <w:sz w:val="20"/>
          <w:szCs w:val="20"/>
        </w:rPr>
        <w:t xml:space="preserve">. </w:t>
      </w:r>
      <w:r w:rsidR="00636BAE">
        <w:rPr>
          <w:rFonts w:ascii="Arial" w:hAnsi="Arial" w:cs="Arial"/>
          <w:sz w:val="20"/>
          <w:szCs w:val="20"/>
        </w:rPr>
        <w:t>svibnja</w:t>
      </w:r>
      <w:r w:rsidRPr="00C55802">
        <w:rPr>
          <w:rFonts w:ascii="Arial" w:hAnsi="Arial" w:cs="Arial"/>
          <w:sz w:val="20"/>
          <w:szCs w:val="20"/>
        </w:rPr>
        <w:t xml:space="preserve"> 2022.) je položen prvi kolokvij</w:t>
      </w:r>
      <w:r w:rsidR="00636BAE">
        <w:rPr>
          <w:rFonts w:ascii="Arial" w:hAnsi="Arial" w:cs="Arial"/>
          <w:sz w:val="20"/>
          <w:szCs w:val="20"/>
        </w:rPr>
        <w:t>.</w:t>
      </w:r>
      <w:r w:rsidRPr="00C55802">
        <w:rPr>
          <w:rFonts w:ascii="Arial" w:hAnsi="Arial" w:cs="Arial"/>
          <w:sz w:val="20"/>
          <w:szCs w:val="20"/>
        </w:rPr>
        <w:t xml:space="preserve"> </w:t>
      </w:r>
    </w:p>
    <w:p w14:paraId="1AE4C1F6" w14:textId="059386A9" w:rsidR="00C55802" w:rsidRPr="00C55802" w:rsidRDefault="00C55802" w:rsidP="00C55802">
      <w:pPr>
        <w:tabs>
          <w:tab w:val="left" w:pos="1875"/>
        </w:tabs>
        <w:jc w:val="both"/>
        <w:rPr>
          <w:rFonts w:ascii="Arial" w:hAnsi="Arial" w:cs="Arial"/>
          <w:sz w:val="20"/>
          <w:szCs w:val="20"/>
        </w:rPr>
      </w:pPr>
      <w:r w:rsidRPr="00C55802">
        <w:rPr>
          <w:rFonts w:ascii="Arial" w:hAnsi="Arial" w:cs="Arial"/>
          <w:sz w:val="20"/>
          <w:szCs w:val="20"/>
        </w:rPr>
        <w:t>Mogućnost polaganja kolokvija imaju studenti koji ispit polažu po prvi, drugi ili treći put. Studentima koji ponavljaju godinu, pristupanje kolokviju biti će omogućeno pod istim tim uvjet</w:t>
      </w:r>
      <w:r w:rsidR="00636BAE">
        <w:rPr>
          <w:rFonts w:ascii="Arial" w:hAnsi="Arial" w:cs="Arial"/>
          <w:sz w:val="20"/>
          <w:szCs w:val="20"/>
        </w:rPr>
        <w:t>ima.</w:t>
      </w:r>
    </w:p>
    <w:p w14:paraId="1878ADDB" w14:textId="77777777" w:rsidR="00C55802" w:rsidRPr="00C55802" w:rsidRDefault="00C55802" w:rsidP="00C55802">
      <w:pPr>
        <w:tabs>
          <w:tab w:val="left" w:pos="1875"/>
        </w:tabs>
        <w:jc w:val="both"/>
        <w:rPr>
          <w:rFonts w:ascii="Arial" w:hAnsi="Arial" w:cs="Arial"/>
          <w:sz w:val="20"/>
          <w:szCs w:val="20"/>
        </w:rPr>
      </w:pPr>
      <w:r w:rsidRPr="00C55802">
        <w:rPr>
          <w:rFonts w:ascii="Arial" w:hAnsi="Arial" w:cs="Arial"/>
          <w:sz w:val="20"/>
          <w:szCs w:val="20"/>
        </w:rPr>
        <w:t>Studenti imaju pravo pristupiti kolokviju samo jednom, odnosno ponavljanje kolokvija nije predviđeno.</w:t>
      </w:r>
    </w:p>
    <w:p w14:paraId="68B25E1B" w14:textId="435EACD7" w:rsidR="00C55802" w:rsidRPr="00C55802" w:rsidRDefault="00C55802" w:rsidP="00C55802">
      <w:pPr>
        <w:tabs>
          <w:tab w:val="left" w:pos="1875"/>
        </w:tabs>
        <w:jc w:val="both"/>
        <w:rPr>
          <w:rFonts w:ascii="Arial" w:hAnsi="Arial" w:cs="Arial"/>
          <w:sz w:val="20"/>
          <w:szCs w:val="20"/>
        </w:rPr>
      </w:pPr>
      <w:r w:rsidRPr="00C55802">
        <w:rPr>
          <w:rFonts w:ascii="Arial" w:hAnsi="Arial" w:cs="Arial"/>
          <w:sz w:val="20"/>
          <w:szCs w:val="20"/>
        </w:rPr>
        <w:t>Ukupna ocjena se formira na temelju ocjene iz prvog i drugog kolokvija. Student</w:t>
      </w:r>
      <w:r w:rsidR="00636BAE">
        <w:rPr>
          <w:rFonts w:ascii="Arial" w:hAnsi="Arial" w:cs="Arial"/>
          <w:sz w:val="20"/>
          <w:szCs w:val="20"/>
        </w:rPr>
        <w:t>i</w:t>
      </w:r>
      <w:r w:rsidRPr="00C55802">
        <w:rPr>
          <w:rFonts w:ascii="Arial" w:hAnsi="Arial" w:cs="Arial"/>
          <w:sz w:val="20"/>
          <w:szCs w:val="20"/>
        </w:rPr>
        <w:t xml:space="preserve"> koji uspješno polož</w:t>
      </w:r>
      <w:r w:rsidR="00636BAE">
        <w:rPr>
          <w:rFonts w:ascii="Arial" w:hAnsi="Arial" w:cs="Arial"/>
          <w:sz w:val="20"/>
          <w:szCs w:val="20"/>
        </w:rPr>
        <w:t>e</w:t>
      </w:r>
      <w:r w:rsidRPr="00C55802">
        <w:rPr>
          <w:rFonts w:ascii="Arial" w:hAnsi="Arial" w:cs="Arial"/>
          <w:sz w:val="20"/>
          <w:szCs w:val="20"/>
        </w:rPr>
        <w:t xml:space="preserve"> oba kolokvija mora</w:t>
      </w:r>
      <w:r w:rsidR="00636BAE">
        <w:rPr>
          <w:rFonts w:ascii="Arial" w:hAnsi="Arial" w:cs="Arial"/>
          <w:sz w:val="20"/>
          <w:szCs w:val="20"/>
        </w:rPr>
        <w:t>ju</w:t>
      </w:r>
      <w:r w:rsidRPr="00C55802">
        <w:rPr>
          <w:rFonts w:ascii="Arial" w:hAnsi="Arial" w:cs="Arial"/>
          <w:sz w:val="20"/>
          <w:szCs w:val="20"/>
        </w:rPr>
        <w:t xml:space="preserve"> prijaviti ispit na </w:t>
      </w:r>
      <w:r w:rsidR="00636BAE">
        <w:rPr>
          <w:rFonts w:ascii="Arial" w:hAnsi="Arial" w:cs="Arial"/>
          <w:sz w:val="20"/>
          <w:szCs w:val="20"/>
        </w:rPr>
        <w:t>ljetnom</w:t>
      </w:r>
      <w:r w:rsidRPr="00C55802">
        <w:rPr>
          <w:rFonts w:ascii="Arial" w:hAnsi="Arial" w:cs="Arial"/>
          <w:sz w:val="20"/>
          <w:szCs w:val="20"/>
        </w:rPr>
        <w:t xml:space="preserve"> ispitnom roku, na kojem će </w:t>
      </w:r>
      <w:r w:rsidR="00636BAE">
        <w:rPr>
          <w:rFonts w:ascii="Arial" w:hAnsi="Arial" w:cs="Arial"/>
          <w:sz w:val="20"/>
          <w:szCs w:val="20"/>
        </w:rPr>
        <w:t>im</w:t>
      </w:r>
      <w:r w:rsidRPr="00C55802">
        <w:rPr>
          <w:rFonts w:ascii="Arial" w:hAnsi="Arial" w:cs="Arial"/>
          <w:sz w:val="20"/>
          <w:szCs w:val="20"/>
        </w:rPr>
        <w:t xml:space="preserve"> </w:t>
      </w:r>
      <w:r w:rsidR="00636BAE">
        <w:rPr>
          <w:rFonts w:ascii="Arial" w:hAnsi="Arial" w:cs="Arial"/>
          <w:sz w:val="20"/>
          <w:szCs w:val="20"/>
        </w:rPr>
        <w:t>biti upisana</w:t>
      </w:r>
      <w:r w:rsidRPr="00C55802">
        <w:rPr>
          <w:rFonts w:ascii="Arial" w:hAnsi="Arial" w:cs="Arial"/>
          <w:sz w:val="20"/>
          <w:szCs w:val="20"/>
        </w:rPr>
        <w:t xml:space="preserve"> ocjena. Ako to ne učin</w:t>
      </w:r>
      <w:r w:rsidR="00636BAE">
        <w:rPr>
          <w:rFonts w:ascii="Arial" w:hAnsi="Arial" w:cs="Arial"/>
          <w:sz w:val="20"/>
          <w:szCs w:val="20"/>
        </w:rPr>
        <w:t>e</w:t>
      </w:r>
      <w:r w:rsidRPr="00C55802">
        <w:rPr>
          <w:rFonts w:ascii="Arial" w:hAnsi="Arial" w:cs="Arial"/>
          <w:sz w:val="20"/>
          <w:szCs w:val="20"/>
        </w:rPr>
        <w:t>, ocjena iz kolokvija neće važiti.</w:t>
      </w:r>
    </w:p>
    <w:p w14:paraId="63B3CB15" w14:textId="4AE65FA5" w:rsidR="00066976" w:rsidRDefault="00C55802" w:rsidP="00C55802">
      <w:pPr>
        <w:tabs>
          <w:tab w:val="left" w:pos="1875"/>
        </w:tabs>
        <w:jc w:val="both"/>
        <w:rPr>
          <w:rFonts w:ascii="Arial" w:hAnsi="Arial" w:cs="Arial"/>
          <w:sz w:val="20"/>
          <w:szCs w:val="20"/>
        </w:rPr>
      </w:pPr>
      <w:r w:rsidRPr="00C55802">
        <w:rPr>
          <w:rFonts w:ascii="Arial" w:hAnsi="Arial" w:cs="Arial"/>
          <w:sz w:val="20"/>
          <w:szCs w:val="20"/>
        </w:rPr>
        <w:lastRenderedPageBreak/>
        <w:t>Studenti koji ne polože prvi ili drugi kolokvij na ispitu polažu cjelokupno gradivo.</w:t>
      </w:r>
    </w:p>
    <w:p w14:paraId="02F017AF" w14:textId="325D22FE" w:rsidR="00636BAE" w:rsidRPr="00C40895" w:rsidRDefault="00C40895" w:rsidP="00C55802">
      <w:pPr>
        <w:tabs>
          <w:tab w:val="left" w:pos="1875"/>
        </w:tabs>
        <w:jc w:val="both"/>
        <w:rPr>
          <w:rFonts w:ascii="Arial" w:hAnsi="Arial" w:cs="Arial"/>
          <w:sz w:val="20"/>
          <w:szCs w:val="20"/>
        </w:rPr>
      </w:pPr>
      <w:r w:rsidRPr="00C40895">
        <w:rPr>
          <w:rFonts w:ascii="Arial" w:hAnsi="Arial" w:cs="Arial"/>
          <w:sz w:val="20"/>
          <w:szCs w:val="20"/>
        </w:rPr>
        <w:t xml:space="preserve">2. </w:t>
      </w:r>
      <w:r w:rsidR="00636BAE" w:rsidRPr="00C40895">
        <w:rPr>
          <w:rFonts w:ascii="Arial" w:hAnsi="Arial" w:cs="Arial"/>
          <w:sz w:val="20"/>
          <w:szCs w:val="20"/>
        </w:rPr>
        <w:t>Literatura za polaganje kolokvija</w:t>
      </w:r>
    </w:p>
    <w:p w14:paraId="305A05AD" w14:textId="5961FA4A" w:rsidR="00636BAE" w:rsidRDefault="00C40895" w:rsidP="00C55802">
      <w:pPr>
        <w:tabs>
          <w:tab w:val="left" w:pos="1875"/>
        </w:tabs>
        <w:jc w:val="both"/>
        <w:rPr>
          <w:rFonts w:ascii="Arial" w:hAnsi="Arial" w:cs="Arial"/>
          <w:sz w:val="20"/>
          <w:szCs w:val="20"/>
        </w:rPr>
      </w:pPr>
      <w:r w:rsidRPr="00C40895">
        <w:rPr>
          <w:rFonts w:ascii="Arial" w:hAnsi="Arial" w:cs="Arial"/>
          <w:i/>
          <w:iCs/>
          <w:sz w:val="20"/>
          <w:szCs w:val="20"/>
        </w:rPr>
        <w:t>Prvi kolokvij</w:t>
      </w:r>
      <w:r w:rsidRPr="00C4089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91077" w:rsidRPr="00B91077">
        <w:rPr>
          <w:rFonts w:ascii="Arial" w:hAnsi="Arial" w:cs="Arial"/>
          <w:sz w:val="20"/>
          <w:szCs w:val="20"/>
        </w:rPr>
        <w:t>Koprić</w:t>
      </w:r>
      <w:proofErr w:type="spellEnd"/>
      <w:r w:rsidR="00B91077" w:rsidRPr="00B91077">
        <w:rPr>
          <w:rFonts w:ascii="Arial" w:hAnsi="Arial" w:cs="Arial"/>
          <w:sz w:val="20"/>
          <w:szCs w:val="20"/>
        </w:rPr>
        <w:t xml:space="preserve"> I., Marčetić G., Musa A., </w:t>
      </w:r>
      <w:proofErr w:type="spellStart"/>
      <w:r w:rsidR="00B91077" w:rsidRPr="00B91077">
        <w:rPr>
          <w:rFonts w:ascii="Arial" w:hAnsi="Arial" w:cs="Arial"/>
          <w:sz w:val="20"/>
          <w:szCs w:val="20"/>
        </w:rPr>
        <w:t>Đulabić</w:t>
      </w:r>
      <w:proofErr w:type="spellEnd"/>
      <w:r w:rsidR="00B91077" w:rsidRPr="00B91077">
        <w:rPr>
          <w:rFonts w:ascii="Arial" w:hAnsi="Arial" w:cs="Arial"/>
          <w:sz w:val="20"/>
          <w:szCs w:val="20"/>
        </w:rPr>
        <w:t xml:space="preserve"> V., Lalić Novak G.; Upravna znanost - Javna uprava u suvremenom europskom kontekstu; Zagreb: Pravni fakultet </w:t>
      </w:r>
      <w:r w:rsidR="00B91077" w:rsidRPr="00B91077">
        <w:rPr>
          <w:rFonts w:ascii="Arial" w:hAnsi="Arial" w:cs="Arial"/>
          <w:sz w:val="20"/>
          <w:szCs w:val="20"/>
        </w:rPr>
        <w:t>Sveučilišta</w:t>
      </w:r>
      <w:r w:rsidR="00B91077" w:rsidRPr="00B91077">
        <w:rPr>
          <w:rFonts w:ascii="Arial" w:hAnsi="Arial" w:cs="Arial"/>
          <w:sz w:val="20"/>
          <w:szCs w:val="20"/>
        </w:rPr>
        <w:t xml:space="preserve"> u Zagrebu</w:t>
      </w:r>
      <w:r w:rsidR="007A12F6">
        <w:rPr>
          <w:rFonts w:ascii="Arial" w:hAnsi="Arial" w:cs="Arial"/>
          <w:sz w:val="20"/>
          <w:szCs w:val="20"/>
        </w:rPr>
        <w:t xml:space="preserve">, </w:t>
      </w:r>
      <w:r w:rsidR="007A12F6" w:rsidRPr="007A12F6">
        <w:rPr>
          <w:rFonts w:ascii="Arial" w:hAnsi="Arial" w:cs="Arial"/>
          <w:sz w:val="20"/>
          <w:szCs w:val="20"/>
        </w:rPr>
        <w:t>str. 79-107, 114-124</w:t>
      </w:r>
    </w:p>
    <w:p w14:paraId="12B69896" w14:textId="76B38841" w:rsidR="00B91077" w:rsidRPr="00B91077" w:rsidRDefault="00B91077" w:rsidP="00B91077">
      <w:pPr>
        <w:tabs>
          <w:tab w:val="left" w:pos="1875"/>
        </w:tabs>
        <w:jc w:val="both"/>
        <w:rPr>
          <w:rFonts w:ascii="Arial" w:hAnsi="Arial" w:cs="Arial"/>
          <w:sz w:val="20"/>
          <w:szCs w:val="20"/>
        </w:rPr>
      </w:pPr>
      <w:r w:rsidRPr="00B91077">
        <w:rPr>
          <w:rFonts w:ascii="Arial" w:hAnsi="Arial" w:cs="Arial"/>
          <w:i/>
          <w:iCs/>
          <w:sz w:val="20"/>
          <w:szCs w:val="20"/>
        </w:rPr>
        <w:t>Drugi kolokvij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91077">
        <w:rPr>
          <w:rFonts w:ascii="Arial" w:hAnsi="Arial" w:cs="Arial"/>
          <w:sz w:val="20"/>
          <w:szCs w:val="20"/>
        </w:rPr>
        <w:t>Koprić</w:t>
      </w:r>
      <w:proofErr w:type="spellEnd"/>
      <w:r w:rsidRPr="00B91077">
        <w:rPr>
          <w:rFonts w:ascii="Arial" w:hAnsi="Arial" w:cs="Arial"/>
          <w:sz w:val="20"/>
          <w:szCs w:val="20"/>
        </w:rPr>
        <w:t xml:space="preserve"> I., Marčetić G., Musa A., </w:t>
      </w:r>
      <w:proofErr w:type="spellStart"/>
      <w:r w:rsidRPr="00B91077">
        <w:rPr>
          <w:rFonts w:ascii="Arial" w:hAnsi="Arial" w:cs="Arial"/>
          <w:sz w:val="20"/>
          <w:szCs w:val="20"/>
        </w:rPr>
        <w:t>Đulabić</w:t>
      </w:r>
      <w:proofErr w:type="spellEnd"/>
      <w:r w:rsidRPr="00B91077">
        <w:rPr>
          <w:rFonts w:ascii="Arial" w:hAnsi="Arial" w:cs="Arial"/>
          <w:sz w:val="20"/>
          <w:szCs w:val="20"/>
        </w:rPr>
        <w:t xml:space="preserve"> V., Lalić Novak G.; Upravna znanost - Javna uprava u suvremenom europskom kontekstu; Zagreb: Pravni fakultet </w:t>
      </w:r>
      <w:r w:rsidRPr="00B91077">
        <w:rPr>
          <w:rFonts w:ascii="Arial" w:hAnsi="Arial" w:cs="Arial"/>
          <w:sz w:val="20"/>
          <w:szCs w:val="20"/>
        </w:rPr>
        <w:t>Sveučilišta</w:t>
      </w:r>
      <w:r w:rsidRPr="00B91077">
        <w:rPr>
          <w:rFonts w:ascii="Arial" w:hAnsi="Arial" w:cs="Arial"/>
          <w:sz w:val="20"/>
          <w:szCs w:val="20"/>
        </w:rPr>
        <w:t xml:space="preserve"> u Zagrebu</w:t>
      </w:r>
      <w:r w:rsidR="007A12F6">
        <w:rPr>
          <w:rFonts w:ascii="Arial" w:hAnsi="Arial" w:cs="Arial"/>
          <w:sz w:val="20"/>
          <w:szCs w:val="20"/>
        </w:rPr>
        <w:t xml:space="preserve">, str. </w:t>
      </w:r>
      <w:r w:rsidR="007A12F6" w:rsidRPr="007A12F6">
        <w:rPr>
          <w:rFonts w:ascii="Arial" w:hAnsi="Arial" w:cs="Arial"/>
          <w:sz w:val="20"/>
          <w:szCs w:val="20"/>
        </w:rPr>
        <w:t>133-142, 345-355</w:t>
      </w:r>
    </w:p>
    <w:p w14:paraId="0355F879" w14:textId="020875EF" w:rsidR="00B91077" w:rsidRPr="00C40895" w:rsidRDefault="00B91077" w:rsidP="00C55802">
      <w:pPr>
        <w:tabs>
          <w:tab w:val="left" w:pos="1875"/>
        </w:tabs>
        <w:jc w:val="both"/>
        <w:rPr>
          <w:rFonts w:ascii="Arial" w:hAnsi="Arial" w:cs="Arial"/>
          <w:sz w:val="20"/>
          <w:szCs w:val="20"/>
        </w:rPr>
      </w:pPr>
    </w:p>
    <w:sectPr w:rsidR="00B91077" w:rsidRPr="00C40895" w:rsidSect="008954A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70A9"/>
    <w:multiLevelType w:val="hybridMultilevel"/>
    <w:tmpl w:val="F7507E58"/>
    <w:lvl w:ilvl="0" w:tplc="F2401D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8F7996"/>
    <w:multiLevelType w:val="hybridMultilevel"/>
    <w:tmpl w:val="F0F81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64528"/>
    <w:multiLevelType w:val="hybridMultilevel"/>
    <w:tmpl w:val="AE7E9D88"/>
    <w:lvl w:ilvl="0" w:tplc="27A40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81627"/>
    <w:multiLevelType w:val="hybridMultilevel"/>
    <w:tmpl w:val="25E8B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85019"/>
    <w:multiLevelType w:val="hybridMultilevel"/>
    <w:tmpl w:val="71623644"/>
    <w:lvl w:ilvl="0" w:tplc="07964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E16"/>
    <w:rsid w:val="000010D1"/>
    <w:rsid w:val="00066976"/>
    <w:rsid w:val="000750D1"/>
    <w:rsid w:val="000A0E16"/>
    <w:rsid w:val="000E3C3E"/>
    <w:rsid w:val="000F420F"/>
    <w:rsid w:val="00107499"/>
    <w:rsid w:val="00140FEA"/>
    <w:rsid w:val="001D62F9"/>
    <w:rsid w:val="00235F2A"/>
    <w:rsid w:val="002557F9"/>
    <w:rsid w:val="00277788"/>
    <w:rsid w:val="002B2F1D"/>
    <w:rsid w:val="002D2D8B"/>
    <w:rsid w:val="00331CB0"/>
    <w:rsid w:val="0036109E"/>
    <w:rsid w:val="003C6EE4"/>
    <w:rsid w:val="00406D31"/>
    <w:rsid w:val="00570557"/>
    <w:rsid w:val="005C09E0"/>
    <w:rsid w:val="00636BAE"/>
    <w:rsid w:val="00654360"/>
    <w:rsid w:val="00660231"/>
    <w:rsid w:val="006604C4"/>
    <w:rsid w:val="00692FED"/>
    <w:rsid w:val="006949DD"/>
    <w:rsid w:val="006A1A1A"/>
    <w:rsid w:val="0074188A"/>
    <w:rsid w:val="00743C52"/>
    <w:rsid w:val="007A12F6"/>
    <w:rsid w:val="008033A6"/>
    <w:rsid w:val="0080372A"/>
    <w:rsid w:val="00863463"/>
    <w:rsid w:val="008740E0"/>
    <w:rsid w:val="00876C4A"/>
    <w:rsid w:val="00885F6C"/>
    <w:rsid w:val="008954AE"/>
    <w:rsid w:val="00897664"/>
    <w:rsid w:val="008D2AAD"/>
    <w:rsid w:val="008F42AD"/>
    <w:rsid w:val="00900F5B"/>
    <w:rsid w:val="00902993"/>
    <w:rsid w:val="00910076"/>
    <w:rsid w:val="00912849"/>
    <w:rsid w:val="0099056D"/>
    <w:rsid w:val="009B3A7C"/>
    <w:rsid w:val="009F6801"/>
    <w:rsid w:val="00A854B9"/>
    <w:rsid w:val="00B27296"/>
    <w:rsid w:val="00B50C26"/>
    <w:rsid w:val="00B83F2B"/>
    <w:rsid w:val="00B91077"/>
    <w:rsid w:val="00BA5181"/>
    <w:rsid w:val="00BE3B28"/>
    <w:rsid w:val="00C40895"/>
    <w:rsid w:val="00C43F78"/>
    <w:rsid w:val="00C55802"/>
    <w:rsid w:val="00D059DE"/>
    <w:rsid w:val="00D27D6E"/>
    <w:rsid w:val="00D46DB1"/>
    <w:rsid w:val="00DB0821"/>
    <w:rsid w:val="00DC3CF5"/>
    <w:rsid w:val="00DD5991"/>
    <w:rsid w:val="00DD68DB"/>
    <w:rsid w:val="00EA5956"/>
    <w:rsid w:val="00F00E0F"/>
    <w:rsid w:val="00F06A50"/>
    <w:rsid w:val="00F6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1FEF8"/>
  <w14:defaultImageDpi w14:val="300"/>
  <w15:docId w15:val="{6C03F0B7-DE99-467D-830F-D0868C87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E16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0E16"/>
    <w:pPr>
      <w:ind w:left="720"/>
      <w:contextualSpacing/>
    </w:pPr>
    <w:rPr>
      <w:rFonts w:eastAsia="Calibri"/>
      <w:lang w:val="en-US" w:eastAsia="en-US"/>
    </w:rPr>
  </w:style>
  <w:style w:type="paragraph" w:styleId="Bezproreda">
    <w:name w:val="No Spacing"/>
    <w:uiPriority w:val="1"/>
    <w:qFormat/>
    <w:rsid w:val="00902993"/>
    <w:rPr>
      <w:rFonts w:ascii="Calibri" w:eastAsia="Calibri" w:hAnsi="Calibri" w:cs="Times New Roman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 Lalić Novak</dc:creator>
  <cp:lastModifiedBy>Tijana Vukojičić Tomić</cp:lastModifiedBy>
  <cp:revision>7</cp:revision>
  <cp:lastPrinted>2017-03-12T15:35:00Z</cp:lastPrinted>
  <dcterms:created xsi:type="dcterms:W3CDTF">2022-02-13T09:53:00Z</dcterms:created>
  <dcterms:modified xsi:type="dcterms:W3CDTF">2022-02-14T10:33:00Z</dcterms:modified>
</cp:coreProperties>
</file>