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U SUSTAVU SOCIJALNE SKRBI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Izborni / 3.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  <w:tab/>
              <w:t xml:space="preserve">Predavanja - 30 sati: 1 ECTS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  <w:tab/>
              <w:t xml:space="preserve">Priprema za predavanje (vođena diskusija, studentska debata, izrada praktičnog zadatka, demonstracija praktičnog zadatka) - 30 sati: 1 ECTS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  <w:tab/>
              <w:t xml:space="preserve">Priprema za ispit (samostalno čitanje i učenje literature) – 30 sati: 1 ECTS.  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6.sv.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aspekte funkcioniranja različitih ustanova socijalne skrbi i uloge socijalnih radnika u njima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Sustav socijalne skrbi u RH – zakonski kontekst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Specifične uloge i funkcije socijalnih radnika u sustavu SS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 (kritički esej),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glavna područja rada i relevantne elemente unutar hrvatskog sustava socijalne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Dijelovi sustava socijalne skrbi RH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i korisnici sustava SS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djelatnosti socijalnih radnika unutar sustava socijalne skrbi u odnosu na dodirne sustave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 (kritički esej),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različite dijelove sustava socijalne skrbi Republike Hrvatske i obilježja komparativnih sustava – obrazovanje, zdravstvo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Komparativni pregled djelatnosti socijalnih radnika u različitim sustavima socijalne politike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Reformske aktivnosti u sustavima socijalne skrbi RH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 (kritički esej),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Pripremiti za obavljanje različitih funkcija socijalnog rada unutar sustava socijalne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ideja, sposobnost primjene znanja u praksi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Mogućnosti razvoja karijere za socijalne radnike zaposlene u sustavu socijalne skrbi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u različitim vrstama ustanova socijalne skrbi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Kompetencije za rad u sustavu socijalne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 (kritički esej),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Vrednovati dobre i loše strane djelovanja socijalnih radnika u sustavu socijalne skrbi Republike Hrvatske i odabranih zemalja Europske unije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Komparativni pregled djelatnosti socijalnih radnika u sustavima SS drugih zemalja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Provedene reforme i projekcija razvoja u usporednim zemljama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 (kritički esej), usmeni ispit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B912C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sInHzvBG7v4nys1QWN5GlOLxw==">AMUW2mVEIk/YmDqSGeZHpGPCyPn+ccO9btKHu52zKPnwCeV8jcliy+pSIQ4keKpNcj9+aP8O7uJNnHU4OAQdyeu6t/IqZkfEVoSqJEzgxHuUslm2xoLXTeg=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2021-07-16T12:21:00Z</dcterms:created>
  <dc:creator>Marina Ajduković</dc:creator>
</cp:coreProperties>
</file>