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05" w:rsidRDefault="00FC3C05" w:rsidP="00FC3C05">
      <w:pPr>
        <w:shd w:val="clear" w:color="auto" w:fill="FFFFFF"/>
        <w:spacing w:after="0" w:line="363" w:lineRule="atLeast"/>
        <w:textAlignment w:val="baseline"/>
        <w:outlineLvl w:val="0"/>
        <w:rPr>
          <w:rFonts w:ascii="Thesis" w:eastAsia="Times New Roman" w:hAnsi="Thesis" w:cs="Times New Roman"/>
          <w:color w:val="000000"/>
          <w:kern w:val="36"/>
          <w:sz w:val="29"/>
          <w:szCs w:val="29"/>
          <w:bdr w:val="none" w:sz="0" w:space="0" w:color="auto" w:frame="1"/>
          <w:lang w:val="de-DE" w:eastAsia="en-GB"/>
        </w:rPr>
      </w:pPr>
      <w:r w:rsidRPr="00FC3C05">
        <w:rPr>
          <w:rFonts w:ascii="Thesis" w:eastAsia="Times New Roman" w:hAnsi="Thesis" w:cs="Times New Roman"/>
          <w:color w:val="000000"/>
          <w:kern w:val="36"/>
          <w:sz w:val="29"/>
          <w:szCs w:val="29"/>
          <w:bdr w:val="none" w:sz="0" w:space="0" w:color="auto" w:frame="1"/>
          <w:lang w:val="de-DE" w:eastAsia="en-GB"/>
        </w:rPr>
        <w:t>OECD-Bildungsbericht</w:t>
      </w:r>
    </w:p>
    <w:p w:rsidR="00FC3C05" w:rsidRPr="00FC3C05" w:rsidRDefault="00FC3C05" w:rsidP="00FC3C05">
      <w:pPr>
        <w:shd w:val="clear" w:color="auto" w:fill="FFFFFF"/>
        <w:spacing w:after="0" w:line="363" w:lineRule="atLeast"/>
        <w:textAlignment w:val="baseline"/>
        <w:outlineLvl w:val="0"/>
        <w:rPr>
          <w:rFonts w:ascii="Thesis" w:eastAsia="Times New Roman" w:hAnsi="Thesis" w:cs="Times New Roman"/>
          <w:b/>
          <w:bCs/>
          <w:color w:val="000000"/>
          <w:kern w:val="36"/>
          <w:sz w:val="29"/>
          <w:szCs w:val="29"/>
          <w:lang w:val="de-DE" w:eastAsia="en-GB"/>
        </w:rPr>
      </w:pPr>
      <w:r w:rsidRPr="00FC3C05">
        <w:rPr>
          <w:rFonts w:ascii="Thesis" w:eastAsia="Times New Roman" w:hAnsi="Thesis" w:cs="Times New Roman"/>
          <w:b/>
          <w:bCs/>
          <w:color w:val="000000"/>
          <w:kern w:val="36"/>
          <w:sz w:val="58"/>
          <w:szCs w:val="58"/>
          <w:bdr w:val="none" w:sz="0" w:space="0" w:color="auto" w:frame="1"/>
          <w:lang w:val="de-DE" w:eastAsia="en-GB"/>
        </w:rPr>
        <w:t>Deutsches Bildungssystem ist gut - aber nicht für alle</w:t>
      </w:r>
    </w:p>
    <w:p w:rsidR="00FC3C05" w:rsidRDefault="00FC3C05" w:rsidP="00FC3C05">
      <w:pPr>
        <w:pStyle w:val="text"/>
        <w:spacing w:before="0" w:beforeAutospacing="0" w:after="120" w:afterAutospacing="0" w:line="421" w:lineRule="atLeast"/>
        <w:ind w:left="708" w:right="708"/>
        <w:textAlignment w:val="baseline"/>
        <w:rPr>
          <w:rStyle w:val="Strong"/>
          <w:rFonts w:ascii="Thesis" w:hAnsi="Thesis"/>
          <w:color w:val="000000"/>
          <w:sz w:val="29"/>
          <w:szCs w:val="29"/>
          <w:lang w:val="de-DE"/>
        </w:rPr>
      </w:pPr>
    </w:p>
    <w:p w:rsidR="00FC3C05" w:rsidRPr="00FC3C05" w:rsidRDefault="00FC3C05" w:rsidP="00FC3C05">
      <w:pPr>
        <w:pStyle w:val="text"/>
        <w:spacing w:before="0" w:beforeAutospacing="0" w:after="120" w:afterAutospacing="0" w:line="421" w:lineRule="atLeast"/>
        <w:ind w:left="708" w:right="708"/>
        <w:textAlignment w:val="baseline"/>
        <w:rPr>
          <w:rFonts w:ascii="Thesis" w:hAnsi="Thesis"/>
          <w:color w:val="000000"/>
          <w:sz w:val="29"/>
          <w:szCs w:val="29"/>
          <w:lang w:val="de-DE"/>
        </w:rPr>
      </w:pPr>
      <w:r w:rsidRPr="00FC3C05">
        <w:rPr>
          <w:rStyle w:val="Strong"/>
          <w:rFonts w:ascii="Thesis" w:hAnsi="Thesis"/>
          <w:color w:val="000000"/>
          <w:sz w:val="29"/>
          <w:szCs w:val="29"/>
          <w:lang w:val="de-DE"/>
        </w:rPr>
        <w:t>Brummende Konjunktur, funktionierendes Ausbildungssystem, viele gute Abschlüsse: Die Chancen der meisten Jugendlichen in Deutschland sind laut OECD-Studie gut. Doch mehr als jeder zehnte junge Erwachsene bleibt ohne Ausbildung oder Abitur.</w:t>
      </w:r>
    </w:p>
    <w:p w:rsidR="00FC3C05" w:rsidRPr="00FC3C05" w:rsidRDefault="00FC3C05" w:rsidP="00FC3C05">
      <w:pPr>
        <w:pStyle w:val="text"/>
        <w:spacing w:before="0" w:beforeAutospacing="0" w:after="120" w:afterAutospacing="0" w:line="421" w:lineRule="atLeast"/>
        <w:ind w:left="708" w:right="708"/>
        <w:textAlignment w:val="baseline"/>
        <w:rPr>
          <w:rFonts w:ascii="Thesis" w:hAnsi="Thesis"/>
          <w:color w:val="000000"/>
          <w:sz w:val="29"/>
          <w:szCs w:val="29"/>
          <w:lang w:val="de-DE"/>
        </w:rPr>
      </w:pPr>
      <w:r w:rsidRPr="00FC3C05">
        <w:rPr>
          <w:rFonts w:ascii="Thesis" w:hAnsi="Thesis"/>
          <w:color w:val="000000"/>
          <w:sz w:val="29"/>
          <w:szCs w:val="29"/>
          <w:lang w:val="de-DE"/>
        </w:rPr>
        <w:t>In kaum einem anderen Land gehen so viele junge Menschen zur Schule, sind in Ausbildung oder haben einen Job wie in Deutschland. Trotzdem gibt es weiterhin viele Jugendliche, die dabei auf der Strecke bleiben: Der Anteil junger Menschen ohne qualifizierten Abschluss stagniert seit Jahren, kritisiert die Organisation für wirtschaftliche Zusammenarbeit und Entwicklung (OECD) in ihrer Studie "Bildung auf einen Blick".</w:t>
      </w:r>
    </w:p>
    <w:p w:rsidR="00FC3C05" w:rsidRPr="00FC3C05" w:rsidRDefault="00FC3C05" w:rsidP="00FC3C05">
      <w:pPr>
        <w:pStyle w:val="text"/>
        <w:spacing w:before="0" w:beforeAutospacing="0" w:after="120" w:afterAutospacing="0" w:line="421" w:lineRule="atLeast"/>
        <w:ind w:left="708" w:right="708"/>
        <w:textAlignment w:val="baseline"/>
        <w:rPr>
          <w:rFonts w:ascii="Thesis" w:hAnsi="Thesis"/>
          <w:color w:val="000000"/>
          <w:sz w:val="29"/>
          <w:szCs w:val="29"/>
          <w:lang w:val="de-DE"/>
        </w:rPr>
      </w:pPr>
      <w:r w:rsidRPr="00FC3C05">
        <w:rPr>
          <w:rFonts w:ascii="Thesis" w:hAnsi="Thesis"/>
          <w:color w:val="000000"/>
          <w:sz w:val="29"/>
          <w:szCs w:val="29"/>
          <w:lang w:val="de-DE"/>
        </w:rPr>
        <w:t>Demnach waren in Deutschland im vergangenen Jahr 8,6 Prozent der 15- bis 29-Jährigen nicht in Bildung, Ausbildung oder Beschäftigung. Das ist einer der niedrigsten Anteile im Vergleich der OECD-Länder. Nur Island (6,2 Prozent), die Niederlande und die Schweiz (beide 8,3 Prozent) sowie Luxemburg (8,4 Prozent) schneiden besser ab. Der OECD-Durchschnitt liegt bei 14,6 Prozent.</w:t>
      </w:r>
    </w:p>
    <w:p w:rsidR="00FC3C05" w:rsidRPr="00FC3C05" w:rsidRDefault="00FC3C05" w:rsidP="00FC3C05">
      <w:pPr>
        <w:pStyle w:val="text"/>
        <w:spacing w:before="0" w:beforeAutospacing="0" w:after="120" w:afterAutospacing="0" w:line="421" w:lineRule="atLeast"/>
        <w:ind w:left="708" w:right="708"/>
        <w:textAlignment w:val="baseline"/>
        <w:rPr>
          <w:rFonts w:ascii="Thesis" w:hAnsi="Thesis"/>
          <w:color w:val="000000"/>
          <w:sz w:val="29"/>
          <w:szCs w:val="29"/>
          <w:lang w:val="de-DE"/>
        </w:rPr>
      </w:pPr>
      <w:r w:rsidRPr="00FC3C05">
        <w:rPr>
          <w:rFonts w:ascii="Thesis" w:hAnsi="Thesis"/>
          <w:color w:val="000000"/>
          <w:sz w:val="29"/>
          <w:szCs w:val="29"/>
          <w:lang w:val="de-DE"/>
        </w:rPr>
        <w:t>Dass die Chancen für viele junge Menschen in Deutschland so gut sind, liegt an der guten Wirtschaftslage und der als vorbildlich geltenden Bildung, sagt der OECD-Bildungsexperte Andreas Schleicher. Der Übergang in den Beruf sei in der Regel reibungslos. Trotzdem gibt es in Deutschland nach wie vor sogenannte Bildungsverlierer. Ein Problem, an dem sich wenig ändert.</w:t>
      </w:r>
    </w:p>
    <w:p w:rsidR="00FC3C05" w:rsidRPr="00FC3C05" w:rsidRDefault="00FC3C05" w:rsidP="00FC3C05">
      <w:pPr>
        <w:spacing w:after="120" w:line="454" w:lineRule="atLeast"/>
        <w:ind w:left="708" w:right="708"/>
        <w:textAlignment w:val="baseline"/>
        <w:outlineLvl w:val="1"/>
        <w:rPr>
          <w:rFonts w:ascii="Thesis" w:eastAsia="Times New Roman" w:hAnsi="Thesis" w:cs="Times New Roman"/>
          <w:b/>
          <w:bCs/>
          <w:color w:val="000000"/>
          <w:sz w:val="30"/>
          <w:szCs w:val="30"/>
          <w:lang w:val="de-DE" w:eastAsia="en-GB"/>
        </w:rPr>
      </w:pPr>
      <w:r w:rsidRPr="00FC3C05">
        <w:rPr>
          <w:rFonts w:ascii="Thesis" w:eastAsia="Times New Roman" w:hAnsi="Thesis" w:cs="Times New Roman"/>
          <w:b/>
          <w:bCs/>
          <w:color w:val="000000"/>
          <w:sz w:val="30"/>
          <w:szCs w:val="30"/>
          <w:lang w:val="de-DE" w:eastAsia="en-GB"/>
        </w:rPr>
        <w:lastRenderedPageBreak/>
        <w:t>Stagnation bei Bildungsverlierern</w:t>
      </w:r>
    </w:p>
    <w:p w:rsidR="00FC3C05" w:rsidRP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sidRPr="00FC3C05">
        <w:rPr>
          <w:rFonts w:ascii="Thesis" w:eastAsia="Times New Roman" w:hAnsi="Thesis" w:cs="Times New Roman"/>
          <w:color w:val="000000"/>
          <w:sz w:val="29"/>
          <w:szCs w:val="29"/>
          <w:lang w:val="de-DE" w:eastAsia="en-GB"/>
        </w:rPr>
        <w:t>Der Anteil der Menschen ohne abgeschlossene Berufsausbildung oder Abitur ist der OECD-Studie zufolge in Deutschland in den vergangenen Jahrzehnten kaum gesunken. Er liegt bei den heute 25- bis 34-Jährigen bei 13 Prozent, in der Gruppe der 55- bis 64-Jährigen bei 14 Prozent. In anderen Ländern konnte der Anteil der Geringqualifizierten in den vergangen 30 Jahren deutlich verringert werden: in Österreich etwa von 23 auf 10 Prozent und in der Schweiz von 16 auf acht Prozent.</w:t>
      </w:r>
    </w:p>
    <w:p w:rsidR="00FC3C05" w:rsidRP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sidRPr="00FC3C05">
        <w:rPr>
          <w:rFonts w:ascii="Thesis" w:eastAsia="Times New Roman" w:hAnsi="Thesis" w:cs="Times New Roman"/>
          <w:color w:val="000000"/>
          <w:sz w:val="29"/>
          <w:szCs w:val="29"/>
          <w:lang w:val="de-DE" w:eastAsia="en-GB"/>
        </w:rPr>
        <w:t>Allein 1,9 Millionen Menschen zwischen 20 und 34 Jahren hätten keine Berufsausbildung, sagte die Chefin der Gewerkschaft Erziehung und Wissenschaft (GEW), Marlis Tepe, der Deutschen Presse-Agentur in Berlin. Bildungserfolg und soziale Herkunft hängen laut GEW in Deutschland so eng zusammen wie in kaum einem anderen Staat. "Bildung wird weiterhin vererbt", sagte Tepe. Der Anteil junger Erwachsener mit akademischen oder höheren beruflichen Abschlüsse stieg zwischen 2005 und 2015 von 22 auf 30 Prozent.</w:t>
      </w:r>
    </w:p>
    <w:p w:rsidR="00FC3C05" w:rsidRPr="00FC3C05" w:rsidRDefault="00FC3C05" w:rsidP="00FC3C05">
      <w:pPr>
        <w:spacing w:after="120" w:line="454" w:lineRule="atLeast"/>
        <w:ind w:left="708" w:right="708"/>
        <w:textAlignment w:val="baseline"/>
        <w:outlineLvl w:val="1"/>
        <w:rPr>
          <w:rFonts w:ascii="Thesis" w:eastAsia="Times New Roman" w:hAnsi="Thesis" w:cs="Times New Roman"/>
          <w:b/>
          <w:bCs/>
          <w:color w:val="000000"/>
          <w:sz w:val="30"/>
          <w:szCs w:val="30"/>
          <w:lang w:val="de-DE" w:eastAsia="en-GB"/>
        </w:rPr>
      </w:pPr>
      <w:r w:rsidRPr="00FC3C05">
        <w:rPr>
          <w:rFonts w:ascii="Thesis" w:eastAsia="Times New Roman" w:hAnsi="Thesis" w:cs="Times New Roman"/>
          <w:b/>
          <w:bCs/>
          <w:color w:val="000000"/>
          <w:sz w:val="30"/>
          <w:szCs w:val="30"/>
          <w:lang w:val="de-DE" w:eastAsia="en-GB"/>
        </w:rPr>
        <w:t>Deutschland zahlt weniger für Bildung als andere</w:t>
      </w:r>
    </w:p>
    <w:p w:rsidR="00FC3C05" w:rsidRP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sidRPr="00FC3C05">
        <w:rPr>
          <w:rFonts w:ascii="Thesis" w:eastAsia="Times New Roman" w:hAnsi="Thesis" w:cs="Times New Roman"/>
          <w:color w:val="000000"/>
          <w:sz w:val="29"/>
          <w:szCs w:val="29"/>
          <w:lang w:val="de-DE" w:eastAsia="en-GB"/>
        </w:rPr>
        <w:t>Wie schon in den Jahren zuvor kritisiert die OECD wieder, dass Deutschland, gemessen an seinem Bruttoinlandsprodukt, weniger Geld in sein Bildungssystem investiert als andere Staaten: 4,2 Prozent des BIP fließen in die Bildung, im OECD-Durchschnitt sind es mit 4,8 Prozent deutlich mehr.</w:t>
      </w:r>
    </w:p>
    <w:p w:rsid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sidRPr="00FC3C05">
        <w:rPr>
          <w:rFonts w:ascii="Thesis" w:eastAsia="Times New Roman" w:hAnsi="Thesis" w:cs="Times New Roman"/>
          <w:color w:val="000000"/>
          <w:sz w:val="29"/>
          <w:szCs w:val="29"/>
          <w:lang w:val="de-DE" w:eastAsia="en-GB"/>
        </w:rPr>
        <w:t>Auch wenn es darum geht, wer für Bildung bezahlt, gibt es deutliche Unterschiede zwischen Deutschland und den anderen OECD-Ländern. Die meisten Staaten beteiligten durch Studiengebühren "</w:t>
      </w:r>
      <w:proofErr w:type="gramStart"/>
      <w:r w:rsidRPr="00FC3C05">
        <w:rPr>
          <w:rFonts w:ascii="Thesis" w:eastAsia="Times New Roman" w:hAnsi="Thesis" w:cs="Times New Roman"/>
          <w:color w:val="000000"/>
          <w:sz w:val="29"/>
          <w:szCs w:val="29"/>
          <w:lang w:val="de-DE" w:eastAsia="en-GB"/>
        </w:rPr>
        <w:t>die gut verdienende Bildungsgewinner</w:t>
      </w:r>
      <w:proofErr w:type="gramEnd"/>
      <w:r w:rsidRPr="00FC3C05">
        <w:rPr>
          <w:rFonts w:ascii="Thesis" w:eastAsia="Times New Roman" w:hAnsi="Thesis" w:cs="Times New Roman"/>
          <w:color w:val="000000"/>
          <w:sz w:val="29"/>
          <w:szCs w:val="29"/>
          <w:lang w:val="de-DE" w:eastAsia="en-GB"/>
        </w:rPr>
        <w:t xml:space="preserve">" an der Finanzierung - in Deutschland bitte man die Jüngsten zur Kasse, sagt Schleicher. Denn in der frühkindlichen Bildung liege der </w:t>
      </w:r>
      <w:r w:rsidRPr="00FC3C05">
        <w:rPr>
          <w:rFonts w:ascii="Thesis" w:eastAsia="Times New Roman" w:hAnsi="Thesis" w:cs="Times New Roman"/>
          <w:color w:val="000000"/>
          <w:sz w:val="29"/>
          <w:szCs w:val="29"/>
          <w:lang w:val="de-DE" w:eastAsia="en-GB"/>
        </w:rPr>
        <w:lastRenderedPageBreak/>
        <w:t>private Finanzierungsanteil bei etwa einem Viertel und damit deutlich über dem OECD-Schnitt.</w:t>
      </w:r>
    </w:p>
    <w:p w:rsid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p>
    <w:p w:rsid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Pr>
          <w:rFonts w:ascii="Thesis" w:eastAsia="Times New Roman" w:hAnsi="Thesis" w:cs="Times New Roman"/>
          <w:color w:val="000000"/>
          <w:sz w:val="29"/>
          <w:szCs w:val="29"/>
          <w:lang w:val="de-DE" w:eastAsia="en-GB"/>
        </w:rPr>
        <w:t>Quelle:</w:t>
      </w:r>
    </w:p>
    <w:p w:rsid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sidRPr="00FC3C05">
        <w:rPr>
          <w:rFonts w:ascii="Thesis" w:eastAsia="Times New Roman" w:hAnsi="Thesis" w:cs="Times New Roman"/>
          <w:color w:val="000000"/>
          <w:sz w:val="29"/>
          <w:szCs w:val="29"/>
          <w:lang w:val="de-DE" w:eastAsia="en-GB"/>
        </w:rPr>
        <w:t>https://www.tagesschau.de/inland/oecd-bildungsbericht-101.html</w:t>
      </w:r>
      <w:bookmarkStart w:id="0" w:name="_GoBack"/>
      <w:bookmarkEnd w:id="0"/>
    </w:p>
    <w:p w:rsid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Pr>
          <w:rFonts w:ascii="Thesis" w:eastAsia="Times New Roman" w:hAnsi="Thesis" w:cs="Times New Roman"/>
          <w:color w:val="000000"/>
          <w:sz w:val="29"/>
          <w:szCs w:val="29"/>
          <w:lang w:val="de-DE" w:eastAsia="en-GB"/>
        </w:rPr>
        <w:t>Videobeiträge:</w:t>
      </w:r>
    </w:p>
    <w:p w:rsidR="00FC3C05" w:rsidRPr="00FC3C05" w:rsidRDefault="00FC3C05" w:rsidP="00FC3C05">
      <w:pPr>
        <w:spacing w:after="120" w:line="421" w:lineRule="atLeast"/>
        <w:ind w:left="708" w:right="708"/>
        <w:textAlignment w:val="baseline"/>
        <w:rPr>
          <w:rFonts w:ascii="Thesis" w:eastAsia="Times New Roman" w:hAnsi="Thesis" w:cs="Times New Roman"/>
          <w:color w:val="000000"/>
          <w:sz w:val="29"/>
          <w:szCs w:val="29"/>
          <w:lang w:val="de-DE" w:eastAsia="en-GB"/>
        </w:rPr>
      </w:pPr>
      <w:r w:rsidRPr="00FC3C05">
        <w:rPr>
          <w:rFonts w:ascii="Thesis" w:eastAsia="Times New Roman" w:hAnsi="Thesis" w:cs="Times New Roman"/>
          <w:color w:val="000000"/>
          <w:sz w:val="29"/>
          <w:szCs w:val="29"/>
          <w:lang w:val="de-DE" w:eastAsia="en-GB"/>
        </w:rPr>
        <w:t>https://www.tagesschau.de/inland/oecd-bildungsbericht-101.html</w:t>
      </w:r>
    </w:p>
    <w:p w:rsidR="00E028AA" w:rsidRPr="00FC3C05" w:rsidRDefault="00E028AA">
      <w:pPr>
        <w:rPr>
          <w:lang w:val="de-DE"/>
        </w:rPr>
      </w:pPr>
    </w:p>
    <w:sectPr w:rsidR="00E028AA" w:rsidRPr="00FC3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hesi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05"/>
    <w:rsid w:val="00E028AA"/>
    <w:rsid w:val="00FC3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F860B"/>
  <w15:chartTrackingRefBased/>
  <w15:docId w15:val="{3F373CA0-A9CF-4CD1-A49E-73EB42A8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FC3C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3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1245">
      <w:bodyDiv w:val="1"/>
      <w:marLeft w:val="0"/>
      <w:marRight w:val="0"/>
      <w:marTop w:val="0"/>
      <w:marBottom w:val="0"/>
      <w:divBdr>
        <w:top w:val="none" w:sz="0" w:space="0" w:color="auto"/>
        <w:left w:val="none" w:sz="0" w:space="0" w:color="auto"/>
        <w:bottom w:val="none" w:sz="0" w:space="0" w:color="auto"/>
        <w:right w:val="none" w:sz="0" w:space="0" w:color="auto"/>
      </w:divBdr>
    </w:div>
    <w:div w:id="55206288">
      <w:bodyDiv w:val="1"/>
      <w:marLeft w:val="0"/>
      <w:marRight w:val="0"/>
      <w:marTop w:val="0"/>
      <w:marBottom w:val="0"/>
      <w:divBdr>
        <w:top w:val="none" w:sz="0" w:space="0" w:color="auto"/>
        <w:left w:val="none" w:sz="0" w:space="0" w:color="auto"/>
        <w:bottom w:val="none" w:sz="0" w:space="0" w:color="auto"/>
        <w:right w:val="none" w:sz="0" w:space="0" w:color="auto"/>
      </w:divBdr>
      <w:divsChild>
        <w:div w:id="314459835">
          <w:marLeft w:val="0"/>
          <w:marRight w:val="0"/>
          <w:marTop w:val="0"/>
          <w:marBottom w:val="120"/>
          <w:divBdr>
            <w:top w:val="none" w:sz="0" w:space="0" w:color="auto"/>
            <w:left w:val="none" w:sz="0" w:space="0" w:color="auto"/>
            <w:bottom w:val="none" w:sz="0" w:space="0" w:color="auto"/>
            <w:right w:val="none" w:sz="0" w:space="0" w:color="auto"/>
          </w:divBdr>
          <w:divsChild>
            <w:div w:id="159659249">
              <w:marLeft w:val="0"/>
              <w:marRight w:val="0"/>
              <w:marTop w:val="0"/>
              <w:marBottom w:val="0"/>
              <w:divBdr>
                <w:top w:val="none" w:sz="0" w:space="0" w:color="auto"/>
                <w:left w:val="none" w:sz="0" w:space="0" w:color="auto"/>
                <w:bottom w:val="none" w:sz="0" w:space="0" w:color="auto"/>
                <w:right w:val="none" w:sz="0" w:space="0" w:color="auto"/>
              </w:divBdr>
              <w:divsChild>
                <w:div w:id="340551494">
                  <w:marLeft w:val="0"/>
                  <w:marRight w:val="0"/>
                  <w:marTop w:val="0"/>
                  <w:marBottom w:val="0"/>
                  <w:divBdr>
                    <w:top w:val="none" w:sz="0" w:space="0" w:color="auto"/>
                    <w:left w:val="none" w:sz="0" w:space="0" w:color="auto"/>
                    <w:bottom w:val="none" w:sz="0" w:space="0" w:color="auto"/>
                    <w:right w:val="none" w:sz="0" w:space="0" w:color="auto"/>
                  </w:divBdr>
                  <w:divsChild>
                    <w:div w:id="1338389124">
                      <w:marLeft w:val="0"/>
                      <w:marRight w:val="0"/>
                      <w:marTop w:val="0"/>
                      <w:marBottom w:val="0"/>
                      <w:divBdr>
                        <w:top w:val="none" w:sz="0" w:space="0" w:color="auto"/>
                        <w:left w:val="none" w:sz="0" w:space="0" w:color="auto"/>
                        <w:bottom w:val="none" w:sz="0" w:space="0" w:color="auto"/>
                        <w:right w:val="none" w:sz="0" w:space="0" w:color="auto"/>
                      </w:divBdr>
                      <w:divsChild>
                        <w:div w:id="2128771379">
                          <w:marLeft w:val="0"/>
                          <w:marRight w:val="0"/>
                          <w:marTop w:val="0"/>
                          <w:marBottom w:val="0"/>
                          <w:divBdr>
                            <w:top w:val="none" w:sz="0" w:space="0" w:color="auto"/>
                            <w:left w:val="none" w:sz="0" w:space="0" w:color="auto"/>
                            <w:bottom w:val="none" w:sz="0" w:space="0" w:color="auto"/>
                            <w:right w:val="none" w:sz="0" w:space="0" w:color="auto"/>
                          </w:divBdr>
                          <w:divsChild>
                            <w:div w:id="2025088778">
                              <w:marLeft w:val="0"/>
                              <w:marRight w:val="0"/>
                              <w:marTop w:val="0"/>
                              <w:marBottom w:val="0"/>
                              <w:divBdr>
                                <w:top w:val="none" w:sz="0" w:space="0" w:color="auto"/>
                                <w:left w:val="none" w:sz="0" w:space="0" w:color="auto"/>
                                <w:bottom w:val="none" w:sz="0" w:space="0" w:color="auto"/>
                                <w:right w:val="none" w:sz="0" w:space="0" w:color="auto"/>
                              </w:divBdr>
                              <w:divsChild>
                                <w:div w:id="1354575568">
                                  <w:marLeft w:val="0"/>
                                  <w:marRight w:val="0"/>
                                  <w:marTop w:val="0"/>
                                  <w:marBottom w:val="0"/>
                                  <w:divBdr>
                                    <w:top w:val="none" w:sz="0" w:space="0" w:color="auto"/>
                                    <w:left w:val="none" w:sz="0" w:space="0" w:color="auto"/>
                                    <w:bottom w:val="none" w:sz="0" w:space="0" w:color="auto"/>
                                    <w:right w:val="none" w:sz="0" w:space="0" w:color="auto"/>
                                  </w:divBdr>
                                  <w:divsChild>
                                    <w:div w:id="1299652369">
                                      <w:marLeft w:val="0"/>
                                      <w:marRight w:val="0"/>
                                      <w:marTop w:val="0"/>
                                      <w:marBottom w:val="0"/>
                                      <w:divBdr>
                                        <w:top w:val="none" w:sz="0" w:space="0" w:color="auto"/>
                                        <w:left w:val="none" w:sz="0" w:space="0" w:color="auto"/>
                                        <w:bottom w:val="none" w:sz="0" w:space="0" w:color="auto"/>
                                        <w:right w:val="none" w:sz="0" w:space="0" w:color="auto"/>
                                      </w:divBdr>
                                      <w:divsChild>
                                        <w:div w:id="317618160">
                                          <w:marLeft w:val="0"/>
                                          <w:marRight w:val="0"/>
                                          <w:marTop w:val="0"/>
                                          <w:marBottom w:val="0"/>
                                          <w:divBdr>
                                            <w:top w:val="none" w:sz="0" w:space="0" w:color="auto"/>
                                            <w:left w:val="none" w:sz="0" w:space="0" w:color="auto"/>
                                            <w:bottom w:val="none" w:sz="0" w:space="0" w:color="auto"/>
                                            <w:right w:val="none" w:sz="0" w:space="0" w:color="auto"/>
                                          </w:divBdr>
                                          <w:divsChild>
                                            <w:div w:id="2099012705">
                                              <w:marLeft w:val="-105"/>
                                              <w:marRight w:val="0"/>
                                              <w:marTop w:val="0"/>
                                              <w:marBottom w:val="0"/>
                                              <w:divBdr>
                                                <w:top w:val="none" w:sz="0" w:space="0" w:color="auto"/>
                                                <w:left w:val="none" w:sz="0" w:space="0" w:color="auto"/>
                                                <w:bottom w:val="none" w:sz="0" w:space="0" w:color="auto"/>
                                                <w:right w:val="none" w:sz="0" w:space="0" w:color="auto"/>
                                              </w:divBdr>
                                              <w:divsChild>
                                                <w:div w:id="710307964">
                                                  <w:marLeft w:val="0"/>
                                                  <w:marRight w:val="90"/>
                                                  <w:marTop w:val="0"/>
                                                  <w:marBottom w:val="90"/>
                                                  <w:divBdr>
                                                    <w:top w:val="none" w:sz="0" w:space="0" w:color="auto"/>
                                                    <w:left w:val="none" w:sz="0" w:space="0" w:color="auto"/>
                                                    <w:bottom w:val="none" w:sz="0" w:space="0" w:color="auto"/>
                                                    <w:right w:val="none" w:sz="0" w:space="0" w:color="auto"/>
                                                  </w:divBdr>
                                                  <w:divsChild>
                                                    <w:div w:id="16476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789528">
          <w:marLeft w:val="120"/>
          <w:marRight w:val="120"/>
          <w:marTop w:val="120"/>
          <w:marBottom w:val="120"/>
          <w:divBdr>
            <w:top w:val="none" w:sz="0" w:space="0" w:color="auto"/>
            <w:left w:val="none" w:sz="0" w:space="0" w:color="auto"/>
            <w:bottom w:val="none" w:sz="0" w:space="0" w:color="auto"/>
            <w:right w:val="none" w:sz="0" w:space="0" w:color="auto"/>
          </w:divBdr>
          <w:divsChild>
            <w:div w:id="1622035983">
              <w:marLeft w:val="0"/>
              <w:marRight w:val="0"/>
              <w:marTop w:val="0"/>
              <w:marBottom w:val="0"/>
              <w:divBdr>
                <w:top w:val="none" w:sz="0" w:space="0" w:color="auto"/>
                <w:left w:val="none" w:sz="0" w:space="0" w:color="auto"/>
                <w:bottom w:val="none" w:sz="0" w:space="0" w:color="auto"/>
                <w:right w:val="none" w:sz="0" w:space="0" w:color="auto"/>
              </w:divBdr>
              <w:divsChild>
                <w:div w:id="688410252">
                  <w:marLeft w:val="0"/>
                  <w:marRight w:val="0"/>
                  <w:marTop w:val="0"/>
                  <w:marBottom w:val="0"/>
                  <w:divBdr>
                    <w:top w:val="none" w:sz="0" w:space="0" w:color="auto"/>
                    <w:left w:val="none" w:sz="0" w:space="0" w:color="auto"/>
                    <w:bottom w:val="none" w:sz="0" w:space="0" w:color="auto"/>
                    <w:right w:val="none" w:sz="0" w:space="0" w:color="auto"/>
                  </w:divBdr>
                  <w:divsChild>
                    <w:div w:id="343017183">
                      <w:marLeft w:val="0"/>
                      <w:marRight w:val="0"/>
                      <w:marTop w:val="0"/>
                      <w:marBottom w:val="0"/>
                      <w:divBdr>
                        <w:top w:val="none" w:sz="0" w:space="0" w:color="auto"/>
                        <w:left w:val="none" w:sz="0" w:space="0" w:color="auto"/>
                        <w:bottom w:val="none" w:sz="0" w:space="0" w:color="auto"/>
                        <w:right w:val="none" w:sz="0" w:space="0" w:color="auto"/>
                      </w:divBdr>
                      <w:divsChild>
                        <w:div w:id="1007903629">
                          <w:marLeft w:val="566"/>
                          <w:marRight w:val="566"/>
                          <w:marTop w:val="180"/>
                          <w:marBottom w:val="180"/>
                          <w:divBdr>
                            <w:top w:val="none" w:sz="0" w:space="0" w:color="auto"/>
                            <w:left w:val="none" w:sz="0" w:space="0" w:color="auto"/>
                            <w:bottom w:val="none" w:sz="0" w:space="0" w:color="auto"/>
                            <w:right w:val="none" w:sz="0" w:space="0" w:color="auto"/>
                          </w:divBdr>
                          <w:divsChild>
                            <w:div w:id="2094551037">
                              <w:marLeft w:val="117"/>
                              <w:marRight w:val="117"/>
                              <w:marTop w:val="0"/>
                              <w:marBottom w:val="60"/>
                              <w:divBdr>
                                <w:top w:val="none" w:sz="0" w:space="0" w:color="auto"/>
                                <w:left w:val="none" w:sz="0" w:space="0" w:color="auto"/>
                                <w:bottom w:val="none" w:sz="0" w:space="0" w:color="auto"/>
                                <w:right w:val="none" w:sz="0" w:space="0" w:color="auto"/>
                              </w:divBdr>
                              <w:divsChild>
                                <w:div w:id="1760953314">
                                  <w:marLeft w:val="0"/>
                                  <w:marRight w:val="0"/>
                                  <w:marTop w:val="0"/>
                                  <w:marBottom w:val="0"/>
                                  <w:divBdr>
                                    <w:top w:val="none" w:sz="0" w:space="0" w:color="auto"/>
                                    <w:left w:val="none" w:sz="0" w:space="0" w:color="auto"/>
                                    <w:bottom w:val="none" w:sz="0" w:space="0" w:color="auto"/>
                                    <w:right w:val="none" w:sz="0" w:space="0" w:color="auto"/>
                                  </w:divBdr>
                                  <w:divsChild>
                                    <w:div w:id="1561329876">
                                      <w:marLeft w:val="0"/>
                                      <w:marRight w:val="0"/>
                                      <w:marTop w:val="0"/>
                                      <w:marBottom w:val="0"/>
                                      <w:divBdr>
                                        <w:top w:val="none" w:sz="0" w:space="0" w:color="auto"/>
                                        <w:left w:val="none" w:sz="0" w:space="0" w:color="auto"/>
                                        <w:bottom w:val="none" w:sz="0" w:space="0" w:color="auto"/>
                                        <w:right w:val="none" w:sz="0" w:space="0" w:color="auto"/>
                                      </w:divBdr>
                                      <w:divsChild>
                                        <w:div w:id="643240553">
                                          <w:marLeft w:val="0"/>
                                          <w:marRight w:val="0"/>
                                          <w:marTop w:val="0"/>
                                          <w:marBottom w:val="0"/>
                                          <w:divBdr>
                                            <w:top w:val="none" w:sz="0" w:space="0" w:color="auto"/>
                                            <w:left w:val="none" w:sz="0" w:space="0" w:color="auto"/>
                                            <w:bottom w:val="none" w:sz="0" w:space="0" w:color="auto"/>
                                            <w:right w:val="none" w:sz="0" w:space="0" w:color="auto"/>
                                          </w:divBdr>
                                          <w:divsChild>
                                            <w:div w:id="162680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3732">
                                      <w:marLeft w:val="0"/>
                                      <w:marRight w:val="0"/>
                                      <w:marTop w:val="0"/>
                                      <w:marBottom w:val="0"/>
                                      <w:divBdr>
                                        <w:top w:val="none" w:sz="0" w:space="0" w:color="auto"/>
                                        <w:left w:val="none" w:sz="0" w:space="0" w:color="auto"/>
                                        <w:bottom w:val="none" w:sz="0" w:space="0" w:color="auto"/>
                                        <w:right w:val="none" w:sz="0" w:space="0" w:color="auto"/>
                                      </w:divBdr>
                                      <w:divsChild>
                                        <w:div w:id="1044133880">
                                          <w:marLeft w:val="0"/>
                                          <w:marRight w:val="0"/>
                                          <w:marTop w:val="0"/>
                                          <w:marBottom w:val="0"/>
                                          <w:divBdr>
                                            <w:top w:val="none" w:sz="0" w:space="0" w:color="auto"/>
                                            <w:left w:val="none" w:sz="0" w:space="0" w:color="auto"/>
                                            <w:bottom w:val="none" w:sz="0" w:space="0" w:color="auto"/>
                                            <w:right w:val="none" w:sz="0" w:space="0" w:color="auto"/>
                                          </w:divBdr>
                                        </w:div>
                                        <w:div w:id="176116182">
                                          <w:marLeft w:val="0"/>
                                          <w:marRight w:val="0"/>
                                          <w:marTop w:val="0"/>
                                          <w:marBottom w:val="0"/>
                                          <w:divBdr>
                                            <w:top w:val="none" w:sz="0" w:space="0" w:color="auto"/>
                                            <w:left w:val="none" w:sz="0" w:space="0" w:color="auto"/>
                                            <w:bottom w:val="none" w:sz="0" w:space="0" w:color="auto"/>
                                            <w:right w:val="none" w:sz="0" w:space="0" w:color="auto"/>
                                          </w:divBdr>
                                          <w:divsChild>
                                            <w:div w:id="10459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445208">
                          <w:marLeft w:val="708"/>
                          <w:marRight w:val="708"/>
                          <w:marTop w:val="240"/>
                          <w:marBottom w:val="240"/>
                          <w:divBdr>
                            <w:top w:val="none" w:sz="0" w:space="0" w:color="auto"/>
                            <w:left w:val="none" w:sz="0" w:space="0" w:color="auto"/>
                            <w:bottom w:val="none" w:sz="0" w:space="0" w:color="auto"/>
                            <w:right w:val="none" w:sz="0" w:space="0" w:color="auto"/>
                          </w:divBdr>
                          <w:divsChild>
                            <w:div w:id="538902927">
                              <w:marLeft w:val="0"/>
                              <w:marRight w:val="0"/>
                              <w:marTop w:val="0"/>
                              <w:marBottom w:val="0"/>
                              <w:divBdr>
                                <w:top w:val="none" w:sz="0" w:space="0" w:color="auto"/>
                                <w:left w:val="none" w:sz="0" w:space="0" w:color="auto"/>
                                <w:bottom w:val="none" w:sz="0" w:space="0" w:color="auto"/>
                                <w:right w:val="none" w:sz="0" w:space="0" w:color="auto"/>
                              </w:divBdr>
                              <w:divsChild>
                                <w:div w:id="102457502">
                                  <w:marLeft w:val="0"/>
                                  <w:marRight w:val="120"/>
                                  <w:marTop w:val="0"/>
                                  <w:marBottom w:val="30"/>
                                  <w:divBdr>
                                    <w:top w:val="none" w:sz="0" w:space="0" w:color="auto"/>
                                    <w:left w:val="none" w:sz="0" w:space="0" w:color="auto"/>
                                    <w:bottom w:val="none" w:sz="0" w:space="0" w:color="auto"/>
                                    <w:right w:val="none" w:sz="0" w:space="0" w:color="auto"/>
                                  </w:divBdr>
                                  <w:divsChild>
                                    <w:div w:id="1206528373">
                                      <w:marLeft w:val="38"/>
                                      <w:marRight w:val="38"/>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99513">
      <w:bodyDiv w:val="1"/>
      <w:marLeft w:val="0"/>
      <w:marRight w:val="0"/>
      <w:marTop w:val="0"/>
      <w:marBottom w:val="0"/>
      <w:divBdr>
        <w:top w:val="none" w:sz="0" w:space="0" w:color="auto"/>
        <w:left w:val="none" w:sz="0" w:space="0" w:color="auto"/>
        <w:bottom w:val="none" w:sz="0" w:space="0" w:color="auto"/>
        <w:right w:val="none" w:sz="0" w:space="0" w:color="auto"/>
      </w:divBdr>
    </w:div>
    <w:div w:id="1398632554">
      <w:bodyDiv w:val="1"/>
      <w:marLeft w:val="0"/>
      <w:marRight w:val="0"/>
      <w:marTop w:val="0"/>
      <w:marBottom w:val="0"/>
      <w:divBdr>
        <w:top w:val="none" w:sz="0" w:space="0" w:color="auto"/>
        <w:left w:val="none" w:sz="0" w:space="0" w:color="auto"/>
        <w:bottom w:val="none" w:sz="0" w:space="0" w:color="auto"/>
        <w:right w:val="none" w:sz="0" w:space="0" w:color="auto"/>
      </w:divBdr>
    </w:div>
    <w:div w:id="1585600826">
      <w:bodyDiv w:val="1"/>
      <w:marLeft w:val="0"/>
      <w:marRight w:val="0"/>
      <w:marTop w:val="0"/>
      <w:marBottom w:val="0"/>
      <w:divBdr>
        <w:top w:val="none" w:sz="0" w:space="0" w:color="auto"/>
        <w:left w:val="none" w:sz="0" w:space="0" w:color="auto"/>
        <w:bottom w:val="none" w:sz="0" w:space="0" w:color="auto"/>
        <w:right w:val="none" w:sz="0" w:space="0" w:color="auto"/>
      </w:divBdr>
    </w:div>
    <w:div w:id="17360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2017-04-11T12:37:00Z</dcterms:created>
  <dcterms:modified xsi:type="dcterms:W3CDTF">2017-04-11T12:45:00Z</dcterms:modified>
</cp:coreProperties>
</file>