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C" w:rsidRPr="00301BAD" w:rsidRDefault="006217EC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Falco Privatstiftung</w:t>
      </w:r>
    </w:p>
    <w:p w:rsidR="006217EC" w:rsidRPr="00301BAD" w:rsidRDefault="00721A2B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</w:p>
    <w:p w:rsidR="006217EC" w:rsidRPr="00301BAD" w:rsidRDefault="006217EC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Thomas Rabitsch</w:t>
      </w:r>
    </w:p>
    <w:p w:rsidR="006217EC" w:rsidRPr="00301BAD" w:rsidRDefault="00721A2B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</w:p>
    <w:p w:rsidR="006217EC" w:rsidRPr="00301BAD" w:rsidRDefault="00EC70E4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Gisel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17EC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Weller-Lindhorst</w:t>
      </w:r>
    </w:p>
    <w:p w:rsidR="002C7E33" w:rsidRPr="00301BAD" w:rsidRDefault="002C7E33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301BAD">
        <w:rPr>
          <w:rFonts w:ascii="Times New Roman" w:eastAsia="Times New Roman" w:hAnsi="Times New Roman" w:cs="Times New Roman"/>
          <w:bCs/>
          <w:sz w:val="24"/>
          <w:szCs w:val="24"/>
        </w:rPr>
        <w:noBreakHyphen/>
        <w:t>533/07</w:t>
      </w:r>
    </w:p>
    <w:p w:rsidR="002C7E33" w:rsidRPr="00301BAD" w:rsidRDefault="002C7E33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721A2B" w:rsidRPr="00301BAD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="00721A2B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E33" w:rsidRPr="00301BAD" w:rsidRDefault="002C7E33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17EC" w:rsidRPr="00301BAD" w:rsidRDefault="00721A2B" w:rsidP="002C7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Sudska </w:t>
      </w:r>
      <w:r w:rsidR="00F31A36">
        <w:rPr>
          <w:rFonts w:ascii="Times New Roman" w:eastAsia="Times New Roman" w:hAnsi="Times New Roman" w:cs="Times New Roman"/>
          <w:i/>
          <w:sz w:val="24"/>
          <w:szCs w:val="24"/>
        </w:rPr>
        <w:t>nadležnost te prizna</w:t>
      </w:r>
      <w:r w:rsidR="00283E90" w:rsidRPr="00301BAD">
        <w:rPr>
          <w:rFonts w:ascii="Times New Roman" w:eastAsia="Times New Roman" w:hAnsi="Times New Roman" w:cs="Times New Roman"/>
          <w:i/>
          <w:sz w:val="24"/>
          <w:szCs w:val="24"/>
        </w:rPr>
        <w:t>nje i ovrha odluka u građanskim i trgovačkim stvarima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283E90" w:rsidRPr="00301BAD">
        <w:rPr>
          <w:rFonts w:ascii="Times New Roman" w:eastAsia="Times New Roman" w:hAnsi="Times New Roman" w:cs="Times New Roman"/>
          <w:i/>
          <w:sz w:val="24"/>
          <w:szCs w:val="24"/>
        </w:rPr>
        <w:t>Uredba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(E</w:t>
      </w:r>
      <w:r w:rsidR="00283E90" w:rsidRPr="00301BAD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br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. 44/2001 –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posebna nadležnost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članak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> 5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. stavak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> 1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A7298">
        <w:rPr>
          <w:rFonts w:ascii="Times New Roman" w:eastAsia="Times New Roman" w:hAnsi="Times New Roman" w:cs="Times New Roman"/>
          <w:i/>
          <w:sz w:val="24"/>
          <w:szCs w:val="24"/>
        </w:rPr>
        <w:t>podstavak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) i (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druga alineja 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pojam pružanja usluga</w:t>
      </w:r>
      <w:r w:rsidR="006217EC" w:rsidRPr="00301BAD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CC7A1D">
        <w:rPr>
          <w:rFonts w:ascii="Times New Roman" w:eastAsia="Times New Roman" w:hAnsi="Times New Roman" w:cs="Times New Roman"/>
          <w:i/>
          <w:sz w:val="24"/>
          <w:szCs w:val="24"/>
        </w:rPr>
        <w:t xml:space="preserve"> ugovori kojima se prenose </w:t>
      </w:r>
      <w:r w:rsidR="00A328B9" w:rsidRPr="00301BAD">
        <w:rPr>
          <w:rFonts w:ascii="Times New Roman" w:eastAsia="Times New Roman" w:hAnsi="Times New Roman" w:cs="Times New Roman"/>
          <w:i/>
          <w:sz w:val="24"/>
          <w:szCs w:val="24"/>
        </w:rPr>
        <w:t>prava intelektualnog vlasništva</w:t>
      </w:r>
    </w:p>
    <w:p w:rsidR="002C7E33" w:rsidRPr="00301BAD" w:rsidRDefault="002C7E33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oint1"/>
      <w:bookmarkStart w:id="1" w:name="point2"/>
    </w:p>
    <w:p w:rsidR="002C7E33" w:rsidRPr="00301BAD" w:rsidRDefault="00F3515C" w:rsidP="002C7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IZREKA:</w:t>
      </w:r>
    </w:p>
    <w:p w:rsidR="00A328B9" w:rsidRPr="00301BAD" w:rsidRDefault="009D22CA" w:rsidP="009D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1.      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Članak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 5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. stavak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 1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5211A">
        <w:rPr>
          <w:rFonts w:ascii="Times New Roman" w:eastAsia="Times New Roman" w:hAnsi="Times New Roman" w:cs="Times New Roman"/>
          <w:b/>
          <w:bCs/>
          <w:sz w:val="24"/>
          <w:szCs w:val="24"/>
        </w:rPr>
        <w:t>podstavak</w:t>
      </w:r>
      <w:r w:rsidR="0035211A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(b) </w:t>
      </w:r>
      <w:r w:rsidR="00A85496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drug</w:t>
      </w:r>
      <w:r w:rsidR="00A8549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A85496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alinej</w:t>
      </w:r>
      <w:r w:rsidR="00A8549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A85496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Uredbe 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(E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br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44/2001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Vijeća od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prosinca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o sudskoj nadležnosti i priznanju i ovrsi odluka u građanskim i trgovačkim stvarima treba tumačiti tako da ugovor kojim </w:t>
      </w:r>
      <w:r w:rsidR="00BF5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nositelj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prava intelektualnog vlasništva svom ugovornom partneru daje pravo korištenja tog intelektualnog vlasništva uz naknadu</w:t>
      </w:r>
      <w:r w:rsidR="00BF598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nije ugovor o pružanju usluga u smislu te odredbe.</w:t>
      </w:r>
    </w:p>
    <w:p w:rsidR="00A328B9" w:rsidRPr="00301BAD" w:rsidRDefault="009D22CA" w:rsidP="009D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2.      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Koji je sud prema članku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 5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stavku 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91800">
        <w:rPr>
          <w:rFonts w:ascii="Times New Roman" w:eastAsia="Times New Roman" w:hAnsi="Times New Roman" w:cs="Times New Roman"/>
          <w:b/>
          <w:bCs/>
          <w:sz w:val="24"/>
          <w:szCs w:val="24"/>
        </w:rPr>
        <w:t>podstavku</w:t>
      </w:r>
      <w:r w:rsidR="00B91800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(a) Uredbe b</w:t>
      </w: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 44/2001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nadležan za odlučivanje o tužbi radi plaćanja naknade koja se duguje temeljem ugovora kojim </w:t>
      </w:r>
      <w:r w:rsidR="00771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nositelj </w:t>
      </w:r>
      <w:r w:rsidR="00A328B9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prava intelektualnog vlasništva dopušta svom ugovornom partneru pravo njegovog korištenja i nadalje se treba procijeniti prema načelima koja proizlaze iz sudske prakse Suda uz članak 5. stavak 1. Konvencije od 27. rujna 1968. o sudskoj nadležnosti i ovrsi sudskih odluka u građanskim i trgovačkim stvarima u inačici izmijenjenoj Konvencijom od 26. svibnja 1989. o pristupanju Kraljevine Španjolske i Portugalske Republike.</w:t>
      </w:r>
    </w:p>
    <w:p w:rsidR="009D22CA" w:rsidRPr="00301BAD" w:rsidRDefault="009D22CA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p w:rsidR="002C7E33" w:rsidRPr="00301BAD" w:rsidRDefault="002C7E33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IZ OBRAZLOŽENJA:</w:t>
      </w:r>
    </w:p>
    <w:p w:rsidR="006217EC" w:rsidRPr="00301BAD" w:rsidRDefault="00A328B9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Pravni okvir</w:t>
      </w:r>
    </w:p>
    <w:p w:rsidR="006217EC" w:rsidRPr="00301BAD" w:rsidRDefault="00A328B9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>Briselska konvencija</w:t>
      </w:r>
      <w:r w:rsidR="006217EC"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D22CA" w:rsidRPr="00301BAD" w:rsidRDefault="009D22CA" w:rsidP="00A32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oint3"/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1        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 xml:space="preserve">Zahtjev za prethodnom odlukom odnosi se na tumačenje članka 5. stavka 1. 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podstavaka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 xml:space="preserve"> (a) i (b) druge alineje Uredbe br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 44/2001 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>Vijeća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2000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 xml:space="preserve">o sudskoj nadležnosti i priznanju i ovrsi odluka u građanskim i trgovačkim stvarima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2001, L 12, 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 1). </w:t>
      </w:r>
    </w:p>
    <w:p w:rsidR="00806470" w:rsidRPr="00301BAD" w:rsidRDefault="009D22CA" w:rsidP="009D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2        </w:t>
      </w:r>
      <w:r w:rsidR="00A328B9" w:rsidRPr="00301BAD">
        <w:rPr>
          <w:rFonts w:ascii="Times New Roman" w:eastAsia="Times New Roman" w:hAnsi="Times New Roman" w:cs="Times New Roman"/>
          <w:sz w:val="24"/>
          <w:szCs w:val="24"/>
        </w:rPr>
        <w:t xml:space="preserve">Taj zahtjev postavljen je u okviru sudskog spora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 xml:space="preserve">koji je pokrenula privatna zaklada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Falco Privatstiftung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sa sjedištem u Beču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Austrija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i gospodin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Rabitsch,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 prebivalištem u Beču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Austrija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protiv gospođe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Weller-Lindhorst,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 prebivalištem 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München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Njemačka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u kojem se s jedne strane radi o ispunjenju ugovora kojim su tužitelji iz glavnog postupka tuženiku iz glavnog postupka dopustili da u Austriji, Njemačkoj i Švicarskoj stavi u promet video snimke koncerta, a s druge strane o puštanju u promet tonskih snimki tog koncerta bez ugovorne osnove.</w:t>
      </w:r>
    </w:p>
    <w:p w:rsidR="006217EC" w:rsidRPr="00301BAD" w:rsidRDefault="009D22CA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3</w:t>
      </w:r>
      <w:bookmarkEnd w:id="2"/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Člankom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stavkom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Konvencije od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1968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. o sudskoj nadležnosti i ovrsi sudskih odluka u građanskim i trgovačkim stvarima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SL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1972, L 299,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str.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 32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 xml:space="preserve">u inačici izmijenjenoj Konvencijom od 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1989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. o pristupanju Kraljevine Španjolske i Portugalske Republike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SL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 L 285,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str.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u daljnjem tekstu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>Bruxelleska</w:t>
      </w:r>
      <w:r w:rsidR="00A85496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konvencija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06470" w:rsidRPr="00301BAD">
        <w:rPr>
          <w:rFonts w:ascii="Times New Roman" w:eastAsia="Times New Roman" w:hAnsi="Times New Roman" w:cs="Times New Roman"/>
          <w:sz w:val="24"/>
          <w:szCs w:val="24"/>
        </w:rPr>
        <w:t>određeno je kako slijedi</w:t>
      </w:r>
      <w:r w:rsidR="006217EC"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Osoba s prebivalištem u 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nekoj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 držav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 potpisnic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 može biti tužena u drugoj državi potpisnici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1.      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 xml:space="preserve">u sporovima iz ugovora 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>pred sudom mjesta u kojem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 je obveza 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 xml:space="preserve">o kojoj je riječ </w:t>
      </w:r>
      <w:r w:rsidR="004D68D2" w:rsidRPr="00301BAD">
        <w:rPr>
          <w:rFonts w:ascii="Times New Roman" w:eastAsia="Times New Roman" w:hAnsi="Times New Roman" w:cs="Times New Roman"/>
          <w:sz w:val="24"/>
          <w:szCs w:val="24"/>
        </w:rPr>
        <w:t xml:space="preserve">ispunjena ili je trebala biti ispunjena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…“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68D2"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>Uredba</w:t>
      </w:r>
      <w:r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>br</w:t>
      </w:r>
      <w:r w:rsidRP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>. 44/2001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oint4"/>
      <w:r w:rsidRPr="00301BAD">
        <w:rPr>
          <w:rFonts w:ascii="Times New Roman" w:eastAsia="Times New Roman" w:hAnsi="Times New Roman" w:cs="Times New Roman"/>
          <w:sz w:val="24"/>
          <w:szCs w:val="24"/>
        </w:rPr>
        <w:t>4</w:t>
      </w:r>
      <w:bookmarkEnd w:id="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Druga uvodna izjava Uredbe b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r. 44/2001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 xml:space="preserve">Određene razlike između nacionalnih propisa koji uređuju nadležnost i priznanje sudskih odluka sprječavaju neometano djelovanje unutarnjega tržišta. Nužno je da države članice koje 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Uredba obvezuje usvoje propise za ujednačavanje pravila o sukobu nadležnosti u građanskim i trgovačkim stvarima t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e za pojednostavljivanje formal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nosti radi brzog i jednostavnog priznanja i ovrhe sudskih odluka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oint5"/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bookmarkEnd w:id="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U jedanaestoj uvodnoj izjavi Uredbe b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r. 44/2001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navodi se kako slijedi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93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Propisi o nadležnosti moraju biti visoko predvidljivi i utemeljeni na načelu da se nadležnost uglavnom utvrđuje prema prebivalištu tuženika, pri čemu takva nadležnost mora uvijek postojati, osim u nekim točno određenim slučajevima, u kojima je zbog predmeta spora ili stranačke slobode ugovaranja opravdana neka druga poveznica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 …“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oint6"/>
      <w:r w:rsidRPr="00301BAD">
        <w:rPr>
          <w:rFonts w:ascii="Times New Roman" w:eastAsia="Times New Roman" w:hAnsi="Times New Roman" w:cs="Times New Roman"/>
          <w:sz w:val="24"/>
          <w:szCs w:val="24"/>
        </w:rPr>
        <w:t>6</w:t>
      </w:r>
      <w:bookmarkEnd w:id="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Dvanaesta uvodna izjava Uredbe b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r. 44/2001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934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Osim prebivališta tuženika moraju postojati alternativne osnove za nadležnost, utemeljene na bliskoj vezi između suda i spora ili radi olakšavanja pravilnog suđenja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oint7"/>
      <w:r w:rsidRPr="00301BAD">
        <w:rPr>
          <w:rFonts w:ascii="Times New Roman" w:eastAsia="Times New Roman" w:hAnsi="Times New Roman" w:cs="Times New Roman"/>
          <w:sz w:val="24"/>
          <w:szCs w:val="24"/>
        </w:rPr>
        <w:t>7</w:t>
      </w:r>
      <w:bookmarkEnd w:id="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U devetnaestoj uvodnoj izjavi Uredbe b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r. 44/2001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stoji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 xml:space="preserve">Kako bi se osigurao kontinuitet između 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 xml:space="preserve">konvencije i ove Uredbe potrebno je donijeti prijelazne odredbe. Kontinuitet je potreban i u pogledu tumačenja </w:t>
      </w:r>
      <w:r w:rsidR="00A85496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konvencije od strane Suda Europskih zajednica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…“ </w:t>
      </w:r>
    </w:p>
    <w:p w:rsidR="006217EC" w:rsidRPr="00301BAD" w:rsidRDefault="006217EC" w:rsidP="007F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oint8"/>
      <w:r w:rsidRPr="00301BAD">
        <w:rPr>
          <w:rFonts w:ascii="Times New Roman" w:eastAsia="Times New Roman" w:hAnsi="Times New Roman" w:cs="Times New Roman"/>
          <w:sz w:val="24"/>
          <w:szCs w:val="24"/>
        </w:rPr>
        <w:t>8</w:t>
      </w:r>
      <w:bookmarkEnd w:id="7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Odredbe o nadležnosti iz Uredbe 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sadržane su u Poglavlju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II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koje se sastoji od članaka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do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oint9"/>
      <w:r w:rsidRPr="00301BAD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8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Člankom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stavkom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koji je sastavni dio 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Odjeljka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Opće odredbe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Poglavlju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II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određeno je kako slijedi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Podložno odredbama ove Uredbe osobe s prebivalištem u nekoj državi članici mogu biti tužene, bez obzira na njihovo državljanstvo, pred sudovima te države članice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oint10"/>
      <w:r w:rsidRPr="00301BAD">
        <w:rPr>
          <w:rFonts w:ascii="Times New Roman" w:eastAsia="Times New Roman" w:hAnsi="Times New Roman" w:cs="Times New Roman"/>
          <w:sz w:val="24"/>
          <w:szCs w:val="24"/>
        </w:rPr>
        <w:t>10</w:t>
      </w:r>
      <w:bookmarkEnd w:id="9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Člankom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stavkom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koji se nalazi u istom 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djeljku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predviđeno je kako slijedi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3444F">
        <w:rPr>
          <w:rFonts w:ascii="Times New Roman" w:eastAsia="Times New Roman" w:hAnsi="Times New Roman" w:cs="Times New Roman"/>
          <w:sz w:val="24"/>
          <w:szCs w:val="24"/>
        </w:rPr>
        <w:t>Osobe s prebivalištem u nekoj državi članici mogu biti tužene pred sudovima neke druge države članice samo prema odredbama odjeljaka 2.-7.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 xml:space="preserve"> ovog poglavlja.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oint11"/>
      <w:r w:rsidRPr="00301BAD">
        <w:rPr>
          <w:rFonts w:ascii="Times New Roman" w:eastAsia="Times New Roman" w:hAnsi="Times New Roman" w:cs="Times New Roman"/>
          <w:sz w:val="24"/>
          <w:szCs w:val="24"/>
        </w:rPr>
        <w:t>11</w:t>
      </w:r>
      <w:bookmarkEnd w:id="10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Člankom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koji potpada pod 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Odjeljak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Posebna nadležnost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“) 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Poglavlja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II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određeno je sljedeće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Osoba s prebivalištem u nekoj državi članici može biti tužena u drugoj državi članici: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1.      a)     </w:t>
      </w:r>
      <w:r w:rsidR="007B2E0E">
        <w:rPr>
          <w:rFonts w:ascii="Times New Roman" w:eastAsia="Times New Roman" w:hAnsi="Times New Roman" w:cs="Times New Roman"/>
          <w:sz w:val="24"/>
          <w:szCs w:val="24"/>
        </w:rPr>
        <w:t>u sporov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ima iz ugovora pred sudom mjesta u kojemu je obveza o kojoj je riječ ispunjena ili u kojemu je trebala biti ispunjena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b)      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 xml:space="preserve">u smislu ove odredbe, osim ako nije drugačije ugovoreno, mjesto ispunjenja obveze o kojoj je riječ je: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–        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ako se radi o kupoprodaji robe, mjesto u državi članici u kojemu je, prema ugovoru, roba isporučena ili je trebala biti isporučena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–        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 xml:space="preserve">ako se radi o pružanju usluga, mjesto u državi članici u kojemu su, prema ugovoru, usluge pružene ili su trebale biti pružene;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c)      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ako se ne primjenjuje podstavak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primjenjuje se podstavak 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a);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3.      </w:t>
      </w:r>
      <w:r w:rsidR="00AF66A5">
        <w:rPr>
          <w:rFonts w:ascii="Times New Roman" w:eastAsia="Times New Roman" w:hAnsi="Times New Roman" w:cs="Times New Roman"/>
          <w:sz w:val="24"/>
          <w:szCs w:val="24"/>
        </w:rPr>
        <w:t>u sporov</w:t>
      </w:r>
      <w:r w:rsidR="0049069C">
        <w:rPr>
          <w:rFonts w:ascii="Times New Roman" w:eastAsia="Times New Roman" w:hAnsi="Times New Roman" w:cs="Times New Roman"/>
          <w:sz w:val="24"/>
          <w:szCs w:val="24"/>
        </w:rPr>
        <w:t>ima o izvanugovornoj odgovornosti za štetu ili odgovornosti koja je izjednačena s tom odgovornosti, pred sudom mjesta gdje se štetni događaj dogodio ili gdje bi se mogao dogoditi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…“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7F6D1F" w:rsidRPr="00301BAD">
        <w:rPr>
          <w:rFonts w:ascii="Times New Roman" w:eastAsia="Times New Roman" w:hAnsi="Times New Roman" w:cs="Times New Roman"/>
          <w:b/>
          <w:bCs/>
          <w:sz w:val="24"/>
          <w:szCs w:val="24"/>
        </w:rPr>
        <w:t>Glavni postupak i postavljena pitanja</w:t>
      </w:r>
    </w:p>
    <w:p w:rsidR="007F6D1F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oint12"/>
      <w:r w:rsidRPr="00301BAD">
        <w:rPr>
          <w:rFonts w:ascii="Times New Roman" w:eastAsia="Times New Roman" w:hAnsi="Times New Roman" w:cs="Times New Roman"/>
          <w:sz w:val="24"/>
          <w:szCs w:val="24"/>
        </w:rPr>
        <w:t>12</w:t>
      </w:r>
      <w:bookmarkEnd w:id="11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Iz odluke o postavljanju pitanja proizlazi da tužitelji iz glavnog postupka traže plaćanje naknade temeljem dijelom poznatih mjesečnih podataka o prodaji video snimki koncerta. Osim toga traže da se naloži tuženiku iz glavnog postupka da podnese račun o ukupnom broju prodanih video i tonskih zapisa te plate dodatnu naknadu koja iz toga proizlazi. Tužitelji iz glavnog postupka </w:t>
      </w:r>
      <w:r w:rsidR="00CD218E" w:rsidRPr="00301BAD">
        <w:rPr>
          <w:rFonts w:ascii="Times New Roman" w:eastAsia="Times New Roman" w:hAnsi="Times New Roman" w:cs="Times New Roman"/>
          <w:sz w:val="24"/>
          <w:szCs w:val="24"/>
        </w:rPr>
        <w:t xml:space="preserve">svoje zahtjeve glede video zapisa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zasnivaju na</w:t>
      </w:r>
      <w:r w:rsidR="00CD218E" w:rsidRPr="00301BAD">
        <w:rPr>
          <w:rFonts w:ascii="Times New Roman" w:eastAsia="Times New Roman" w:hAnsi="Times New Roman" w:cs="Times New Roman"/>
          <w:sz w:val="24"/>
          <w:szCs w:val="24"/>
        </w:rPr>
        <w:t xml:space="preserve"> odredbama ugovora s ugovornim partnerom, a glede prodaje tonskih zapisa na povredi autorskih prava </w:t>
      </w:r>
      <w:r w:rsidR="00F152BB">
        <w:rPr>
          <w:rFonts w:ascii="Times New Roman" w:eastAsia="Times New Roman" w:hAnsi="Times New Roman" w:cs="Times New Roman"/>
          <w:sz w:val="24"/>
          <w:szCs w:val="24"/>
        </w:rPr>
        <w:t>jer za to ne postoji ugovorna osnova.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2B9" w:rsidRPr="00301BAD" w:rsidRDefault="006217EC" w:rsidP="00C6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oint13"/>
      <w:r w:rsidRPr="00301BAD">
        <w:rPr>
          <w:rFonts w:ascii="Times New Roman" w:eastAsia="Times New Roman" w:hAnsi="Times New Roman" w:cs="Times New Roman"/>
          <w:sz w:val="24"/>
          <w:szCs w:val="24"/>
        </w:rPr>
        <w:t>13</w:t>
      </w:r>
      <w:bookmarkEnd w:id="12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U prvom je stupnju trgovački sud pred kojim su tužitelji iz glavnog postupka pokrenuli spor </w:t>
      </w:r>
      <w:r w:rsidR="003C080E">
        <w:rPr>
          <w:rFonts w:ascii="Times New Roman" w:eastAsia="Times New Roman" w:hAnsi="Times New Roman" w:cs="Times New Roman"/>
          <w:sz w:val="24"/>
          <w:szCs w:val="24"/>
        </w:rPr>
        <w:t xml:space="preserve">odlučio da je nadležan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za odlučivanje o njihovih zahtjevima prema članku 5. stavku 3. Uredbe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Taj je sud smatrao da se njegova nadležnost zbog uske veze između istaknutih zahtjeva proteže i na neplaćene ugovorne naknade za videosnimke, što je tuženik iz glavnog postupka osporavao.</w:t>
      </w:r>
    </w:p>
    <w:p w:rsidR="00C602B9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oint14"/>
      <w:r w:rsidRPr="00301BAD">
        <w:rPr>
          <w:rFonts w:ascii="Times New Roman" w:eastAsia="Times New Roman" w:hAnsi="Times New Roman" w:cs="Times New Roman"/>
          <w:sz w:val="24"/>
          <w:szCs w:val="24"/>
        </w:rPr>
        <w:t>14</w:t>
      </w:r>
      <w:bookmarkEnd w:id="1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U drugom stupnju </w:t>
      </w:r>
      <w:r w:rsidR="001C4ED4" w:rsidRPr="001C4ED4">
        <w:rPr>
          <w:rFonts w:ascii="Times New Roman" w:eastAsia="Times New Roman" w:hAnsi="Times New Roman" w:cs="Times New Roman"/>
          <w:i/>
          <w:sz w:val="24"/>
          <w:szCs w:val="24"/>
        </w:rPr>
        <w:t>Oberlandesgericht Wien</w:t>
      </w:r>
      <w:r w:rsidR="00DA2C0C" w:rsidRPr="00DA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Viši zemaljski sud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0C">
        <w:rPr>
          <w:rFonts w:ascii="Times New Roman" w:eastAsia="Times New Roman" w:hAnsi="Times New Roman" w:cs="Times New Roman"/>
          <w:sz w:val="24"/>
          <w:szCs w:val="24"/>
        </w:rPr>
        <w:t>u Beču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smatrao je da se članak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. st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3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ne može primjenjivati na ugovorne zahtjeve, a niti članak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stavak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1800">
        <w:rPr>
          <w:rFonts w:ascii="Times New Roman" w:eastAsia="Times New Roman" w:hAnsi="Times New Roman" w:cs="Times New Roman"/>
          <w:sz w:val="24"/>
          <w:szCs w:val="24"/>
        </w:rPr>
        <w:t>podstavak</w:t>
      </w:r>
      <w:r w:rsidR="00B91800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) druga alineja te Uredbe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 budući da se kod dotičnog ugovora ne radi o pružanju usluga u smislu te odredbe.</w:t>
      </w:r>
    </w:p>
    <w:p w:rsidR="00620270" w:rsidRPr="00301BAD" w:rsidRDefault="006217EC" w:rsidP="00620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oint15"/>
      <w:r w:rsidRPr="00301BAD">
        <w:rPr>
          <w:rFonts w:ascii="Times New Roman" w:eastAsia="Times New Roman" w:hAnsi="Times New Roman" w:cs="Times New Roman"/>
          <w:sz w:val="24"/>
          <w:szCs w:val="24"/>
        </w:rPr>
        <w:t>15</w:t>
      </w:r>
      <w:bookmarkEnd w:id="1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DA2C0C" w:rsidRPr="00F152BB">
        <w:rPr>
          <w:rFonts w:ascii="Times New Roman" w:eastAsia="Times New Roman" w:hAnsi="Times New Roman" w:cs="Times New Roman"/>
          <w:i/>
          <w:sz w:val="24"/>
          <w:szCs w:val="24"/>
        </w:rPr>
        <w:t>Oberste</w:t>
      </w:r>
      <w:r w:rsidR="00DA2C0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DA2C0C" w:rsidRPr="00F152BB">
        <w:rPr>
          <w:rFonts w:ascii="Times New Roman" w:eastAsia="Times New Roman" w:hAnsi="Times New Roman" w:cs="Times New Roman"/>
          <w:i/>
          <w:sz w:val="24"/>
          <w:szCs w:val="24"/>
        </w:rPr>
        <w:t xml:space="preserve"> Gerichtshof</w:t>
      </w:r>
      <w:r w:rsidR="00DA2C0C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C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 xml:space="preserve">Vrhovni sud) kojem je podnesen revizijski zahtjev </w:t>
      </w:r>
      <w:r w:rsidR="00F152BB">
        <w:rPr>
          <w:rFonts w:ascii="Times New Roman" w:eastAsia="Times New Roman" w:hAnsi="Times New Roman" w:cs="Times New Roman"/>
          <w:sz w:val="24"/>
          <w:szCs w:val="24"/>
        </w:rPr>
        <w:t xml:space="preserve">o pravnom pitanju </w:t>
      </w:r>
      <w:r w:rsidR="00C602B9" w:rsidRPr="00301BAD">
        <w:rPr>
          <w:rFonts w:ascii="Times New Roman" w:eastAsia="Times New Roman" w:hAnsi="Times New Roman" w:cs="Times New Roman"/>
          <w:sz w:val="24"/>
          <w:szCs w:val="24"/>
        </w:rPr>
        <w:t>samo u odnosu na distribuciju videosnimki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smatra da pojam „pružanje usluga“ nije definiran u Uredbi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  <w:r w:rsidR="00F152BB">
        <w:rPr>
          <w:rFonts w:ascii="Times New Roman" w:eastAsia="Times New Roman" w:hAnsi="Times New Roman" w:cs="Times New Roman"/>
          <w:sz w:val="24"/>
          <w:szCs w:val="24"/>
        </w:rPr>
        <w:t>Nacionalni s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ud ukazao je na sudsku praksu Suda u području slobode kretanja usluga i u svezi s određenim direktivama o porezu na dodanu vrijednost koje idu u prilog širokom poimanju pojma usluga </w:t>
      </w:r>
      <w:r w:rsidR="00F152B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postav</w:t>
      </w:r>
      <w:r w:rsidR="00F152BB">
        <w:rPr>
          <w:rFonts w:ascii="Times New Roman" w:eastAsia="Times New Roman" w:hAnsi="Times New Roman" w:cs="Times New Roman"/>
          <w:sz w:val="24"/>
          <w:szCs w:val="24"/>
        </w:rPr>
        <w:t>io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pitanje može li se 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odobrava svom ugovornom partneru korištenje tog prava uz naknadu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kvalificirati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kao ugovor o „pružanju usluga“ 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druge alineje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Prema shvaćanju tog</w:t>
      </w:r>
      <w:r w:rsidR="00DA2C0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suda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 xml:space="preserve"> u tom se slučaju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postavlja pitanje o mjestu pružanja usluge i pitanje može li nadležni sud odlučivati i o naknadi za korištenje licence u pogledu spornih autorskih prava u drugoj državi članici ili trećoj državi.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oint16"/>
      <w:r w:rsidRPr="00301BAD">
        <w:rPr>
          <w:rFonts w:ascii="Times New Roman" w:eastAsia="Times New Roman" w:hAnsi="Times New Roman" w:cs="Times New Roman"/>
          <w:sz w:val="24"/>
          <w:szCs w:val="24"/>
        </w:rPr>
        <w:t>16</w:t>
      </w:r>
      <w:bookmarkEnd w:id="1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Za slučaj da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 xml:space="preserve"> se nadležnost ne može </w:t>
      </w:r>
      <w:r w:rsidR="00DA2C0C">
        <w:rPr>
          <w:rFonts w:ascii="Times New Roman" w:eastAsia="Times New Roman" w:hAnsi="Times New Roman" w:cs="Times New Roman"/>
          <w:sz w:val="24"/>
          <w:szCs w:val="24"/>
        </w:rPr>
        <w:t xml:space="preserve">ustanoviti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temeljem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44/2001,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nacionalni sud smatra da se prema članku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. stavku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ove Uredbe treba primijeniti pravilo iz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okviru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 xml:space="preserve">bitno je prema presudi od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1976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4ED4" w:rsidRPr="001C4ED4">
        <w:rPr>
          <w:rFonts w:ascii="Times New Roman" w:eastAsia="Times New Roman" w:hAnsi="Times New Roman" w:cs="Times New Roman"/>
          <w:i/>
          <w:sz w:val="24"/>
          <w:szCs w:val="24"/>
        </w:rPr>
        <w:t>De Bloos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(14/76,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1976</w:t>
      </w:r>
      <w:r w:rsidR="00EC70E4" w:rsidRPr="00301BAD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="00EC70E4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1497) mjesto ispunjenja obveze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 xml:space="preserve"> o kojoj je riječ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a koje se prema presudi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1976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2C0C">
        <w:rPr>
          <w:rFonts w:ascii="Times New Roman" w:eastAsia="Times New Roman" w:hAnsi="Times New Roman" w:cs="Times New Roman"/>
          <w:i/>
          <w:sz w:val="24"/>
          <w:szCs w:val="24"/>
        </w:rPr>
        <w:t>Tessili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(12/76,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1976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1473),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treba odrediti prema pravu koje se primjenjuje na ugovor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51DD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oint17"/>
      <w:r w:rsidRPr="00301BAD">
        <w:rPr>
          <w:rFonts w:ascii="Times New Roman" w:eastAsia="Times New Roman" w:hAnsi="Times New Roman" w:cs="Times New Roman"/>
          <w:sz w:val="24"/>
          <w:szCs w:val="24"/>
        </w:rPr>
        <w:t>17</w:t>
      </w:r>
      <w:bookmarkEnd w:id="1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 xml:space="preserve">Temeljem svih ovih razmatranja </w:t>
      </w:r>
      <w:r w:rsidR="00DA2C0C">
        <w:rPr>
          <w:rFonts w:ascii="Times New Roman" w:eastAsia="Times New Roman" w:hAnsi="Times New Roman" w:cs="Times New Roman"/>
          <w:i/>
          <w:sz w:val="24"/>
          <w:szCs w:val="24"/>
        </w:rPr>
        <w:t xml:space="preserve">Oberster Gerichtshof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je obustavio postupak i postavio Sudu sljedeća pitanja radi donošenja prethodne odluke:</w:t>
      </w:r>
    </w:p>
    <w:p w:rsidR="006217EC" w:rsidRPr="00301BAD" w:rsidRDefault="006217EC" w:rsidP="0030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1.      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J</w:t>
      </w:r>
      <w:r w:rsidR="00301BAD" w:rsidRPr="00301BAD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AD" w:rsidRPr="00301BAD">
        <w:rPr>
          <w:rFonts w:ascii="Times New Roman" w:eastAsia="Times New Roman" w:hAnsi="Times New Roman" w:cs="Times New Roman"/>
          <w:sz w:val="24"/>
          <w:szCs w:val="24"/>
        </w:rPr>
        <w:t>li ugovor ko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prava na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intelektualno vlasništvo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dopušta ugovornom partneru pravo korištenja tog prava (ugovor o licenci) ugovor o „pružanju usluga“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44/2001?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2.      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Ako je odgovor na prvo pitanje potvrdan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a)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Pruža li se usluga na svakom mjestu u državi članici u kojem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je dopušteno korištenje prava prema ugovoru i u kojem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u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doista dolazi</w:t>
      </w:r>
      <w:r w:rsidR="00BC32CC" w:rsidRPr="00BC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do korištenja prava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b)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Ili se usluga pruža u prebivalištu odnosno u mjestu glavne uprave davatelja licence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c)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Je li sud koji je nadležan kod potvrdnog odgovora na drugo pitanje pod točkom a) ili točkom b) ovlašten odlučivati i o naknadi za korištenje licence koja proizlazi iz korištenja tog prava u drugoj državi članici ili u nekoj trećoj državi? </w:t>
      </w:r>
    </w:p>
    <w:p w:rsid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3.      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Ako je odgovor na prvo pitanje ili na drugo pitanje pod točkom a) i b) negativan, treba li se nadležnost za plaćanje naknade za korištenje licence prema članku 5. stavku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a) i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 xml:space="preserve">i nadalje određivati prema onim načelima koja proizlaze iz sudske prakse Europskog suda u vezi s člankom 5. stavkom 1. 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301BAD">
        <w:rPr>
          <w:rFonts w:ascii="Times New Roman" w:eastAsia="Times New Roman" w:hAnsi="Times New Roman" w:cs="Times New Roman"/>
          <w:sz w:val="24"/>
          <w:szCs w:val="24"/>
        </w:rPr>
        <w:t>konvencije?</w:t>
      </w:r>
    </w:p>
    <w:p w:rsidR="006217EC" w:rsidRPr="00301BAD" w:rsidRDefault="00301BAD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postavljenim pitanjima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01BAD">
        <w:rPr>
          <w:rFonts w:ascii="Times New Roman" w:eastAsia="Times New Roman" w:hAnsi="Times New Roman" w:cs="Times New Roman"/>
          <w:i/>
          <w:iCs/>
          <w:sz w:val="24"/>
          <w:szCs w:val="24"/>
        </w:rPr>
        <w:t>O prvom pitanju</w:t>
      </w:r>
    </w:p>
    <w:p w:rsidR="006217EC" w:rsidRPr="00301BAD" w:rsidRDefault="006217EC" w:rsidP="00AF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oint18"/>
      <w:r w:rsidRPr="00301BAD">
        <w:rPr>
          <w:rFonts w:ascii="Times New Roman" w:eastAsia="Times New Roman" w:hAnsi="Times New Roman" w:cs="Times New Roman"/>
          <w:sz w:val="24"/>
          <w:szCs w:val="24"/>
        </w:rPr>
        <w:t>18</w:t>
      </w:r>
      <w:bookmarkEnd w:id="17"/>
      <w:r w:rsidR="00AF2DE9">
        <w:rPr>
          <w:rFonts w:ascii="Times New Roman" w:eastAsia="Times New Roman" w:hAnsi="Times New Roman" w:cs="Times New Roman"/>
          <w:sz w:val="24"/>
          <w:szCs w:val="24"/>
        </w:rPr>
        <w:tab/>
        <w:t xml:space="preserve">Prvim pitanjem nacionalni sud želi znati je li 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 nekog prava intelektualnog vlasništva svom ugovornom partneru odobrava pravo njegovog korištenja uz naknadu ugovor o pružanju usluga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="00BC32CC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</w:p>
    <w:p w:rsidR="006217EC" w:rsidRPr="00301BAD" w:rsidRDefault="006217EC" w:rsidP="00AF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oint19"/>
      <w:r w:rsidRPr="00301BAD">
        <w:rPr>
          <w:rFonts w:ascii="Times New Roman" w:eastAsia="Times New Roman" w:hAnsi="Times New Roman" w:cs="Times New Roman"/>
          <w:sz w:val="24"/>
          <w:szCs w:val="24"/>
        </w:rPr>
        <w:t>19</w:t>
      </w:r>
      <w:bookmarkEnd w:id="18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Prvo je potrebno konstatirati da tekst članka 5.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sam za sebe ne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omogućuje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 odgovor na to pitanje, jer u toj odredbi nije sadržana definicija pojma ugovora o pružanju usluga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oint20"/>
      <w:r w:rsidRPr="00301BAD">
        <w:rPr>
          <w:rFonts w:ascii="Times New Roman" w:eastAsia="Times New Roman" w:hAnsi="Times New Roman" w:cs="Times New Roman"/>
          <w:sz w:val="24"/>
          <w:szCs w:val="24"/>
        </w:rPr>
        <w:t>20</w:t>
      </w:r>
      <w:bookmarkEnd w:id="19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Stoga se članak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ak 1. </w:t>
      </w:r>
      <w:r w:rsidR="00B91800">
        <w:rPr>
          <w:rFonts w:ascii="Times New Roman" w:eastAsia="Times New Roman" w:hAnsi="Times New Roman" w:cs="Times New Roman"/>
          <w:sz w:val="24"/>
          <w:szCs w:val="24"/>
        </w:rPr>
        <w:t>podstavak</w:t>
      </w:r>
      <w:r w:rsidR="00B91800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druga alineja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treba tumačiti u svjetlu povijesti nastanka, ciljeva i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logike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 xml:space="preserve"> ove Uredbe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2DE9">
        <w:rPr>
          <w:rFonts w:ascii="Times New Roman" w:eastAsia="Times New Roman" w:hAnsi="Times New Roman" w:cs="Times New Roman"/>
          <w:sz w:val="24"/>
          <w:szCs w:val="24"/>
        </w:rPr>
        <w:t>usporedi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 xml:space="preserve"> u tom smislu presude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6D76">
        <w:rPr>
          <w:rFonts w:ascii="Times New Roman" w:eastAsia="Times New Roman" w:hAnsi="Times New Roman" w:cs="Times New Roman"/>
          <w:i/>
          <w:sz w:val="24"/>
          <w:szCs w:val="24"/>
        </w:rPr>
        <w:t>Reisch Montage,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103/05,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6827,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29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i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6D76">
        <w:rPr>
          <w:rFonts w:ascii="Times New Roman" w:eastAsia="Times New Roman" w:hAnsi="Times New Roman" w:cs="Times New Roman"/>
          <w:i/>
          <w:sz w:val="24"/>
          <w:szCs w:val="24"/>
        </w:rPr>
        <w:t>ASML,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283/05,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>] ECR</w:t>
      </w:r>
      <w:r w:rsidR="00EC70E4"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12041,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točke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16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te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6D76">
        <w:rPr>
          <w:rFonts w:ascii="Times New Roman" w:eastAsia="Times New Roman" w:hAnsi="Times New Roman" w:cs="Times New Roman"/>
          <w:i/>
          <w:sz w:val="24"/>
          <w:szCs w:val="24"/>
        </w:rPr>
        <w:t>Color Drack,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386/05,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3699, </w:t>
      </w:r>
      <w:r w:rsidR="0021499D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18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61763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oint21"/>
      <w:r w:rsidRPr="00301BAD">
        <w:rPr>
          <w:rFonts w:ascii="Times New Roman" w:eastAsia="Times New Roman" w:hAnsi="Times New Roman" w:cs="Times New Roman"/>
          <w:sz w:val="24"/>
          <w:szCs w:val="24"/>
        </w:rPr>
        <w:t>21</w:t>
      </w:r>
      <w:bookmarkEnd w:id="20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Prema drugoj i jedanaestoj uvodnoj izjavi Uredbe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44/2001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 njezin je cilj uskladiti propise o međunarodnoj nadležnosti u građanskim i trgovačkim stvarima putem propisa o nadležnosti koji su u velikoj mjeri predvidivi.</w:t>
      </w:r>
    </w:p>
    <w:p w:rsidR="006217EC" w:rsidRPr="00301BAD" w:rsidRDefault="006217EC" w:rsidP="00161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oint22"/>
      <w:r w:rsidRPr="00301BAD">
        <w:rPr>
          <w:rFonts w:ascii="Times New Roman" w:eastAsia="Times New Roman" w:hAnsi="Times New Roman" w:cs="Times New Roman"/>
          <w:sz w:val="24"/>
          <w:szCs w:val="24"/>
        </w:rPr>
        <w:t>22</w:t>
      </w:r>
      <w:bookmarkEnd w:id="21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>Uredbom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na taj se način nastoji ostvariti pravna sigurnost koja se sastoji u tome da se pravna zaštita osoba s prebivalištem u Europskoj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 xml:space="preserve">zajednici 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poboljša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tako što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 tužitelj može bez poteškoća ustanoviti kojem se sudu može obratiti i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161763">
        <w:rPr>
          <w:rFonts w:ascii="Times New Roman" w:eastAsia="Times New Roman" w:hAnsi="Times New Roman" w:cs="Times New Roman"/>
          <w:sz w:val="24"/>
          <w:szCs w:val="24"/>
        </w:rPr>
        <w:t xml:space="preserve"> tuženik može predvidjeti pred kojim sudom može biti tužen (usporedi presude </w:t>
      </w:r>
      <w:r w:rsidRPr="0074685F">
        <w:rPr>
          <w:rFonts w:ascii="Times New Roman" w:eastAsia="Times New Roman" w:hAnsi="Times New Roman" w:cs="Times New Roman"/>
          <w:i/>
          <w:sz w:val="24"/>
          <w:szCs w:val="24"/>
        </w:rPr>
        <w:t>Reisch Montage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točke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24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85F">
        <w:rPr>
          <w:rFonts w:ascii="Times New Roman" w:eastAsia="Times New Roman" w:hAnsi="Times New Roman" w:cs="Times New Roman"/>
          <w:i/>
          <w:sz w:val="24"/>
          <w:szCs w:val="24"/>
        </w:rPr>
        <w:t>Color Drack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20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oint23"/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bookmarkEnd w:id="22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ravila o nadležnost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utvrđena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pri tom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polaze od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opć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nadležnost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suda u prebivalištu tuženika prema članku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ove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a dopunj</w:t>
      </w:r>
      <w:r w:rsidR="000635DE">
        <w:rPr>
          <w:rFonts w:ascii="Times New Roman" w:eastAsia="Times New Roman" w:hAnsi="Times New Roman" w:cs="Times New Roman"/>
          <w:sz w:val="24"/>
          <w:szCs w:val="24"/>
        </w:rPr>
        <w:t>uju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 xml:space="preserve"> ih pravila o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posebn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oj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nadležnost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usporedi presude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600">
        <w:rPr>
          <w:rFonts w:ascii="Times New Roman" w:eastAsia="Times New Roman" w:hAnsi="Times New Roman" w:cs="Times New Roman"/>
          <w:i/>
          <w:sz w:val="24"/>
          <w:szCs w:val="24"/>
        </w:rPr>
        <w:t>Reisch Montage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22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Color Drack, </w:t>
      </w:r>
      <w:r w:rsidR="002C4986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21</w:t>
      </w:r>
      <w:r w:rsidR="00385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92C48" w:rsidRDefault="006217EC" w:rsidP="00E9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point24"/>
      <w:r w:rsidRPr="00301BAD">
        <w:rPr>
          <w:rFonts w:ascii="Times New Roman" w:eastAsia="Times New Roman" w:hAnsi="Times New Roman" w:cs="Times New Roman"/>
          <w:sz w:val="24"/>
          <w:szCs w:val="24"/>
        </w:rPr>
        <w:t>24</w:t>
      </w:r>
      <w:bookmarkEnd w:id="2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8015DA">
        <w:rPr>
          <w:rFonts w:ascii="Times New Roman" w:eastAsia="Times New Roman" w:hAnsi="Times New Roman" w:cs="Times New Roman"/>
          <w:sz w:val="24"/>
          <w:szCs w:val="24"/>
        </w:rPr>
        <w:t xml:space="preserve">Na taj se način pravilo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015DA">
        <w:rPr>
          <w:rFonts w:ascii="Times New Roman" w:eastAsia="Times New Roman" w:hAnsi="Times New Roman" w:cs="Times New Roman"/>
          <w:sz w:val="24"/>
          <w:szCs w:val="24"/>
        </w:rPr>
        <w:t xml:space="preserve">nadležnosti suda u prebivalištu tuženika </w:t>
      </w:r>
      <w:r w:rsidR="000635DE">
        <w:rPr>
          <w:rFonts w:ascii="Times New Roman" w:eastAsia="Times New Roman" w:hAnsi="Times New Roman" w:cs="Times New Roman"/>
          <w:sz w:val="24"/>
          <w:szCs w:val="24"/>
        </w:rPr>
        <w:t>dopunjuje</w:t>
      </w:r>
      <w:r w:rsidR="008015DA">
        <w:rPr>
          <w:rFonts w:ascii="Times New Roman" w:eastAsia="Times New Roman" w:hAnsi="Times New Roman" w:cs="Times New Roman"/>
          <w:sz w:val="24"/>
          <w:szCs w:val="24"/>
        </w:rPr>
        <w:t xml:space="preserve"> pravilom o posebnoj nadležnosti suda za sporove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iz ugovora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iz članka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Razlog za ovo pravilo koje je u skladu s ciljem teritorijalne blizine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 xml:space="preserve">leži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uskoj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vezi između ugovora i suda koji odlučuje o sporu. </w:t>
      </w:r>
    </w:p>
    <w:p w:rsidR="00E92C4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point25"/>
      <w:r w:rsidRPr="00301BAD">
        <w:rPr>
          <w:rFonts w:ascii="Times New Roman" w:eastAsia="Times New Roman" w:hAnsi="Times New Roman" w:cs="Times New Roman"/>
          <w:sz w:val="24"/>
          <w:szCs w:val="24"/>
        </w:rPr>
        <w:t>25</w:t>
      </w:r>
      <w:bookmarkEnd w:id="2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Prema ovom pravilu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o posebnoj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sudsk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oj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nadležnosti tuženik može biti tužen i pred sudom u mjestu u kojem je obveza ispunjena ili je trebala biti ispunjena, jer se polazi od uske veze između tog</w:t>
      </w:r>
      <w:r w:rsidR="000635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suda i ugovora.</w:t>
      </w:r>
    </w:p>
    <w:p w:rsidR="00E92C4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point26"/>
      <w:r w:rsidRPr="00301BAD">
        <w:rPr>
          <w:rFonts w:ascii="Times New Roman" w:eastAsia="Times New Roman" w:hAnsi="Times New Roman" w:cs="Times New Roman"/>
          <w:sz w:val="24"/>
          <w:szCs w:val="24"/>
        </w:rPr>
        <w:t>26</w:t>
      </w:r>
      <w:bookmarkEnd w:id="2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Kako bi se osnažio glavni cilj pravne sigurnosti na kojem počivaju pravila o nadležnosti sadržana u Uredbi br. 44/2001, njome se autonomno određuje ta poveznica kod </w:t>
      </w:r>
      <w:r w:rsidR="004A4EE0">
        <w:rPr>
          <w:rFonts w:ascii="Times New Roman" w:eastAsia="Times New Roman" w:hAnsi="Times New Roman" w:cs="Times New Roman"/>
          <w:sz w:val="24"/>
          <w:szCs w:val="24"/>
        </w:rPr>
        <w:t>kupo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prodaje 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point27"/>
      <w:r w:rsidRPr="00301BAD">
        <w:rPr>
          <w:rFonts w:ascii="Times New Roman" w:eastAsia="Times New Roman" w:hAnsi="Times New Roman" w:cs="Times New Roman"/>
          <w:sz w:val="24"/>
          <w:szCs w:val="24"/>
        </w:rPr>
        <w:t>27</w:t>
      </w:r>
      <w:bookmarkEnd w:id="2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Prema članku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stavk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u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drugoj alineji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mjesto ispunjenja obveze je mjesto u državi članici u kojem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0B2428">
        <w:rPr>
          <w:rFonts w:ascii="Times New Roman" w:eastAsia="Times New Roman" w:hAnsi="Times New Roman" w:cs="Times New Roman"/>
          <w:sz w:val="24"/>
          <w:szCs w:val="24"/>
        </w:rPr>
        <w:t>, prema ugovoru, usluge pružene ili su trebale biti pružene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217EC" w:rsidRPr="00301BAD" w:rsidRDefault="006217EC" w:rsidP="00E92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point28"/>
      <w:r w:rsidRPr="00301BAD">
        <w:rPr>
          <w:rFonts w:ascii="Times New Roman" w:eastAsia="Times New Roman" w:hAnsi="Times New Roman" w:cs="Times New Roman"/>
          <w:sz w:val="24"/>
          <w:szCs w:val="24"/>
        </w:rPr>
        <w:t>28</w:t>
      </w:r>
      <w:bookmarkEnd w:id="27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U svjetlu ovih razmatranja potrebno je odrediti je li 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 prava na intelektualno vlasništvo svom ugovornom partneru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 xml:space="preserve">odobrava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pravo njegovog korištenja uz naknadu ugovor o pružanju usluga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44/2001. </w:t>
      </w:r>
    </w:p>
    <w:p w:rsidR="00E92C4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oint29"/>
      <w:r w:rsidRPr="00301BAD">
        <w:rPr>
          <w:rFonts w:ascii="Times New Roman" w:eastAsia="Times New Roman" w:hAnsi="Times New Roman" w:cs="Times New Roman"/>
          <w:sz w:val="24"/>
          <w:szCs w:val="24"/>
        </w:rPr>
        <w:t>29</w:t>
      </w:r>
      <w:bookmarkEnd w:id="28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U tom kontekstu pojam usluga, kako to ističu njemačka i talijanska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 xml:space="preserve">vlada </w:t>
      </w:r>
      <w:r w:rsidR="00E92C48">
        <w:rPr>
          <w:rFonts w:ascii="Times New Roman" w:eastAsia="Times New Roman" w:hAnsi="Times New Roman" w:cs="Times New Roman"/>
          <w:sz w:val="24"/>
          <w:szCs w:val="24"/>
        </w:rPr>
        <w:t xml:space="preserve">kao i 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 xml:space="preserve">vlada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Ujedinjeno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g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Kraljevstv</w:t>
      </w:r>
      <w:r w:rsidR="00BC32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u svojim podnescima sudu, znači barem da stranka koja ih pruža obavlja određenu djelatnost uz naknadu.</w:t>
      </w:r>
    </w:p>
    <w:p w:rsidR="0040360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oint30"/>
      <w:r w:rsidRPr="00301BAD">
        <w:rPr>
          <w:rFonts w:ascii="Times New Roman" w:eastAsia="Times New Roman" w:hAnsi="Times New Roman" w:cs="Times New Roman"/>
          <w:sz w:val="24"/>
          <w:szCs w:val="24"/>
        </w:rPr>
        <w:t>30</w:t>
      </w:r>
      <w:bookmarkEnd w:id="29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svom ugovornom partneru odobrava pravo korištenja tog prava uz naknadu ne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uključuje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međutim nikakvu djelatnost.</w:t>
      </w:r>
    </w:p>
    <w:p w:rsidR="0040360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point31"/>
      <w:r w:rsidRPr="00301BAD">
        <w:rPr>
          <w:rFonts w:ascii="Times New Roman" w:eastAsia="Times New Roman" w:hAnsi="Times New Roman" w:cs="Times New Roman"/>
          <w:sz w:val="24"/>
          <w:szCs w:val="24"/>
        </w:rPr>
        <w:t>31</w:t>
      </w:r>
      <w:bookmarkEnd w:id="30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Takvim se ugovorom, naime,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prava čije je korištenje prepušteno obvezuje samo da se neće protiviti tome da njegov ugovorni p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artner koristi to pravo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. Kako je nezavisna odvjetnica iznijela u točki 58</w:t>
      </w:r>
      <w:r w:rsidR="00392D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svog mišljenja,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ne pruža nikakvu uslugu time što je </w:t>
      </w:r>
      <w:r w:rsidR="008543DF">
        <w:rPr>
          <w:rFonts w:ascii="Times New Roman" w:eastAsia="Times New Roman" w:hAnsi="Times New Roman" w:cs="Times New Roman"/>
          <w:sz w:val="24"/>
          <w:szCs w:val="24"/>
        </w:rPr>
        <w:t xml:space="preserve">dopustio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korištenje tog prava i samo se obvezuje da će svom ugovornom partneru </w:t>
      </w:r>
      <w:r w:rsidR="008543DF">
        <w:rPr>
          <w:rFonts w:ascii="Times New Roman" w:eastAsia="Times New Roman" w:hAnsi="Times New Roman" w:cs="Times New Roman"/>
          <w:sz w:val="24"/>
          <w:szCs w:val="24"/>
        </w:rPr>
        <w:t xml:space="preserve">dopustiti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slobodno korištenje tog prava.</w:t>
      </w:r>
    </w:p>
    <w:p w:rsidR="00403608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point32"/>
      <w:r w:rsidRPr="00301BAD">
        <w:rPr>
          <w:rFonts w:ascii="Times New Roman" w:eastAsia="Times New Roman" w:hAnsi="Times New Roman" w:cs="Times New Roman"/>
          <w:sz w:val="24"/>
          <w:szCs w:val="24"/>
        </w:rPr>
        <w:t>32</w:t>
      </w:r>
      <w:bookmarkEnd w:id="31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U ovom je kontekstu nebitno je li ugovorni partner davatelja licence dužan koristiti pravo intelektualnog vlasništva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čije mu je korištenje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odobreno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7EC" w:rsidRPr="00301BAD" w:rsidRDefault="006217EC" w:rsidP="0040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oint33"/>
      <w:r w:rsidRPr="00301BAD">
        <w:rPr>
          <w:rFonts w:ascii="Times New Roman" w:eastAsia="Times New Roman" w:hAnsi="Times New Roman" w:cs="Times New Roman"/>
          <w:sz w:val="24"/>
          <w:szCs w:val="24"/>
        </w:rPr>
        <w:t>33</w:t>
      </w:r>
      <w:bookmarkEnd w:id="32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Ovaj zaključak ne može se dovesti u pitanje argumentima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glede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tumačenj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pojma „usluge“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50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ili drugih odredbi izvedenog prava Zajednice osim Ured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i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 logikom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sustavom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1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ove 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oint34"/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34</w:t>
      </w:r>
      <w:bookmarkEnd w:id="3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Kao prvo niti jedan element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logike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 xml:space="preserve"> ili sustava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403608">
        <w:rPr>
          <w:rFonts w:ascii="Times New Roman" w:eastAsia="Times New Roman" w:hAnsi="Times New Roman" w:cs="Times New Roman"/>
          <w:sz w:val="24"/>
          <w:szCs w:val="24"/>
        </w:rPr>
        <w:t>ne zahtijeva tumačenje pojma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pružanje usluga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u članku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stavk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u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drugoj alineji ove Uredbe u skladu s odlukama Suda u području slobodnog kretanja 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 xml:space="preserve">usluga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50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EZ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56F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point35"/>
      <w:r w:rsidRPr="00301BAD">
        <w:rPr>
          <w:rFonts w:ascii="Times New Roman" w:eastAsia="Times New Roman" w:hAnsi="Times New Roman" w:cs="Times New Roman"/>
          <w:sz w:val="24"/>
          <w:szCs w:val="24"/>
        </w:rPr>
        <w:t>35</w:t>
      </w:r>
      <w:bookmarkEnd w:id="3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Ako su u ovom području eventualno potrebna daljnja tumačenja pojma usluge, to zato što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je cilj 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>osigurati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 da što više gospodarskih djelatnosti koje ne potpadaju pod opseg primjene slobode kretanja 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 xml:space="preserve">robe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ili kapitala ili osoba ne bude isključeno iz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primjen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e Ugovora o Europskoj zajednici.</w:t>
      </w:r>
    </w:p>
    <w:p w:rsidR="006217EC" w:rsidRPr="00301BAD" w:rsidRDefault="006217EC" w:rsidP="00096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point36"/>
      <w:r w:rsidRPr="00301BAD">
        <w:rPr>
          <w:rFonts w:ascii="Times New Roman" w:eastAsia="Times New Roman" w:hAnsi="Times New Roman" w:cs="Times New Roman"/>
          <w:sz w:val="24"/>
          <w:szCs w:val="24"/>
        </w:rPr>
        <w:t>36</w:t>
      </w:r>
      <w:bookmarkEnd w:id="3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široj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logici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i sustavu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okolnost da 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 nekog prava intelektualnog vlasništva dopušta svom ugovornom partneru korištenje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 xml:space="preserve">tog prava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uz naknadu </w:t>
      </w:r>
      <w:r w:rsidR="00F76D10">
        <w:rPr>
          <w:rFonts w:ascii="Times New Roman" w:eastAsia="Times New Roman" w:hAnsi="Times New Roman" w:cs="Times New Roman"/>
          <w:sz w:val="24"/>
          <w:szCs w:val="24"/>
        </w:rPr>
        <w:t>ne predstavlja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 ugovor o pružanju usluga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56F">
        <w:rPr>
          <w:rFonts w:ascii="Times New Roman" w:eastAsia="Times New Roman" w:hAnsi="Times New Roman" w:cs="Times New Roman"/>
          <w:sz w:val="24"/>
          <w:szCs w:val="24"/>
        </w:rPr>
        <w:t xml:space="preserve">druge alineje ove Uredbe ne sprječava da taj ugovor podliježe Uredbi, posebice njezinim ostalim odredbama o sudskoj nadležnosti.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5F08" w:rsidRDefault="006217EC" w:rsidP="0024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point37"/>
      <w:r w:rsidRPr="00301BAD">
        <w:rPr>
          <w:rFonts w:ascii="Times New Roman" w:eastAsia="Times New Roman" w:hAnsi="Times New Roman" w:cs="Times New Roman"/>
          <w:sz w:val="24"/>
          <w:szCs w:val="24"/>
        </w:rPr>
        <w:t>37</w:t>
      </w:r>
      <w:bookmarkEnd w:id="3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 xml:space="preserve">Logika i sustav odredbi o nadležnosti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zahtijevaju štoviše usko tumačenje odredbi o posebnoj nadležnosti, između ostalog odredbi članka 5. stavka 1. ove Uredbe u pogledu ugovora, kojima se predviđaju iznimke od opće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g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 xml:space="preserve"> načela nadležnosti suda u prebivalištu tuženika.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oint38"/>
      <w:r w:rsidRPr="00301BAD">
        <w:rPr>
          <w:rFonts w:ascii="Times New Roman" w:eastAsia="Times New Roman" w:hAnsi="Times New Roman" w:cs="Times New Roman"/>
          <w:sz w:val="24"/>
          <w:szCs w:val="24"/>
        </w:rPr>
        <w:t>38</w:t>
      </w:r>
      <w:bookmarkEnd w:id="37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 xml:space="preserve">Iz sličnih razloga se i pojam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pružanje usluga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iz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 xml:space="preserve">ne smije tumačiti kao pojam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usluge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245F08">
        <w:rPr>
          <w:rFonts w:ascii="Times New Roman" w:eastAsia="Times New Roman" w:hAnsi="Times New Roman" w:cs="Times New Roman"/>
          <w:sz w:val="24"/>
          <w:szCs w:val="24"/>
        </w:rPr>
        <w:t>u smislu direktiva o porezu na dodanu vrijednost Zajednice.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D2B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point39"/>
      <w:r w:rsidRPr="00301BAD">
        <w:rPr>
          <w:rFonts w:ascii="Times New Roman" w:eastAsia="Times New Roman" w:hAnsi="Times New Roman" w:cs="Times New Roman"/>
          <w:sz w:val="24"/>
          <w:szCs w:val="24"/>
        </w:rPr>
        <w:t>39</w:t>
      </w:r>
      <w:bookmarkEnd w:id="38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>Kako je nezavisna odvjetnica istaknula u točkama 71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 xml:space="preserve"> i 72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 xml:space="preserve"> svog mišljenja, definicija ovog potonjeg pojma u direktivama o porezu na dodanu vrijednost</w:t>
      </w:r>
      <w:r w:rsidR="00AD2D2B" w:rsidRPr="00AD2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3D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 xml:space="preserve">negativna definicija koja je po svojoj prirodi nužno vrlo široka, jer se tamo pojam „pružanje usluga“ definira kao svaki promet koji ne znači isporuku 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U tim direktivama oporezivim prometom u području Zajednice smatraju se samo dvije kategorije gospodarskih djelatnosti, a to su isporuka </w:t>
      </w:r>
      <w:r w:rsidR="00520FFE">
        <w:rPr>
          <w:rFonts w:ascii="Times New Roman" w:eastAsia="Times New Roman" w:hAnsi="Times New Roman" w:cs="Times New Roman"/>
          <w:sz w:val="24"/>
          <w:szCs w:val="24"/>
        </w:rPr>
        <w:t xml:space="preserve">robe 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pružanje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usluga. </w:t>
      </w:r>
      <w:r w:rsidR="00AD2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7EC" w:rsidRPr="00301BAD" w:rsidRDefault="006217EC" w:rsidP="0060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oint40"/>
      <w:r w:rsidRPr="00301BAD">
        <w:rPr>
          <w:rFonts w:ascii="Times New Roman" w:eastAsia="Times New Roman" w:hAnsi="Times New Roman" w:cs="Times New Roman"/>
          <w:sz w:val="24"/>
          <w:szCs w:val="24"/>
        </w:rPr>
        <w:t>40</w:t>
      </w:r>
      <w:bookmarkEnd w:id="39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U okviru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sudska nadležnost u slučajevima u koji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ma se ne radi o ugovoru o kupoprodaji robe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određuje se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, međutim,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samo prema pravilima koj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se odnose na ugovore o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pružanju usluga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. Članak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. stavak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podstavak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(a) ove Uredbe odnosi se naime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u skladu s člankom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. stavkom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podstavkom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c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ugovore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 xml:space="preserve">koji nisu niti 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ugovori o prodaji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60315E">
        <w:rPr>
          <w:rFonts w:ascii="Times New Roman" w:eastAsia="Times New Roman" w:hAnsi="Times New Roman" w:cs="Times New Roman"/>
          <w:sz w:val="24"/>
          <w:szCs w:val="24"/>
        </w:rPr>
        <w:t xml:space="preserve"> niti ugovori o pružanju usluga.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7EC" w:rsidRPr="00301BAD" w:rsidRDefault="006217EC" w:rsidP="00F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oint41"/>
      <w:r w:rsidRPr="00301BAD">
        <w:rPr>
          <w:rFonts w:ascii="Times New Roman" w:eastAsia="Times New Roman" w:hAnsi="Times New Roman" w:cs="Times New Roman"/>
          <w:sz w:val="24"/>
          <w:szCs w:val="24"/>
        </w:rPr>
        <w:t>41</w:t>
      </w:r>
      <w:bookmarkEnd w:id="40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Kao treće i zadnje,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argument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prema kojem</w:t>
      </w:r>
      <w:r w:rsidR="001A147C">
        <w:rPr>
          <w:rFonts w:ascii="Times New Roman" w:eastAsia="Times New Roman" w:hAnsi="Times New Roman" w:cs="Times New Roman"/>
          <w:sz w:val="24"/>
          <w:szCs w:val="24"/>
        </w:rPr>
        <w:t>u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ugovor kojim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odobrava ugovornom partneru pravo korištenja tog prava uz naknadu nije ugovor o pružanju usluga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može se dovesti</w:t>
      </w:r>
      <w:r w:rsidR="001A147C">
        <w:rPr>
          <w:rFonts w:ascii="Times New Roman" w:eastAsia="Times New Roman" w:hAnsi="Times New Roman" w:cs="Times New Roman"/>
          <w:sz w:val="24"/>
          <w:szCs w:val="24"/>
        </w:rPr>
        <w:t xml:space="preserve"> u pitanje ni zbog potrebe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 xml:space="preserve">, kako ističe Komisija Europskih zajednica,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da se područje primjene članka 5.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široko razgraniči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u odnosu na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član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. stav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k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="001A1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3DF" w:rsidRDefault="006217EC" w:rsidP="00F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point42"/>
      <w:r w:rsidRPr="00301BAD">
        <w:rPr>
          <w:rFonts w:ascii="Times New Roman" w:eastAsia="Times New Roman" w:hAnsi="Times New Roman" w:cs="Times New Roman"/>
          <w:sz w:val="24"/>
          <w:szCs w:val="24"/>
        </w:rPr>
        <w:t>42</w:t>
      </w:r>
      <w:bookmarkEnd w:id="41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Iz logike članka 5. stavka 1.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proizlazi naime da je zakonodavac Zajednice donio različite propise o nadležnosti za ugovore o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kupo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prodaji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i ugovore o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pružanju usluga s jedne strane i sve druge vrste ugovora koji nisu zasebno uređeni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Uredb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s druge strane.</w:t>
      </w:r>
    </w:p>
    <w:p w:rsidR="006217EC" w:rsidRPr="00301BAD" w:rsidRDefault="006217EC" w:rsidP="00F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point43"/>
      <w:r w:rsidRPr="00301BAD">
        <w:rPr>
          <w:rFonts w:ascii="Times New Roman" w:eastAsia="Times New Roman" w:hAnsi="Times New Roman" w:cs="Times New Roman"/>
          <w:sz w:val="24"/>
          <w:szCs w:val="24"/>
        </w:rPr>
        <w:t>43</w:t>
      </w:r>
      <w:bookmarkEnd w:id="42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Proširenje područja primjene članka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stavka 1.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druge alineje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značilo bi da se zaobilazi namjera zakonodavca Zajednice u tom pogledu i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 xml:space="preserve">to bi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narušilo praktičnu učinkovitost članka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podstavaka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(c)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7EC" w:rsidRPr="00301BAD" w:rsidRDefault="006217EC" w:rsidP="00F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point44"/>
      <w:r w:rsidRPr="00301BAD">
        <w:rPr>
          <w:rFonts w:ascii="Times New Roman" w:eastAsia="Times New Roman" w:hAnsi="Times New Roman" w:cs="Times New Roman"/>
          <w:sz w:val="24"/>
          <w:szCs w:val="24"/>
        </w:rPr>
        <w:t>44</w:t>
      </w:r>
      <w:bookmarkEnd w:id="4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Prema svemu ovome odgovor na prvo pitanje treba biti da se članak 5. stavak 1.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podstavak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druga alineja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treba tumačiti tako da ugovor kojim je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svom ugovornom partneru odobrio pravo korištenja tog prava uz naknadu nije ugovor o pružanju usluga u smislu te odredbe.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13DF">
        <w:rPr>
          <w:rFonts w:ascii="Times New Roman" w:eastAsia="Times New Roman" w:hAnsi="Times New Roman" w:cs="Times New Roman"/>
          <w:i/>
          <w:iCs/>
          <w:sz w:val="24"/>
          <w:szCs w:val="24"/>
        </w:rPr>
        <w:t>O drugom pitanju</w:t>
      </w:r>
    </w:p>
    <w:p w:rsidR="00FB13DF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point45"/>
      <w:r w:rsidRPr="00301BAD">
        <w:rPr>
          <w:rFonts w:ascii="Times New Roman" w:eastAsia="Times New Roman" w:hAnsi="Times New Roman" w:cs="Times New Roman"/>
          <w:sz w:val="24"/>
          <w:szCs w:val="24"/>
        </w:rPr>
        <w:t>45</w:t>
      </w:r>
      <w:bookmarkEnd w:id="4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>S obzirom na odgovor na prvo pitanje nije potrebno dati odgovor na drugo pitanje.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B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13DF">
        <w:rPr>
          <w:rFonts w:ascii="Times New Roman" w:eastAsia="Times New Roman" w:hAnsi="Times New Roman" w:cs="Times New Roman"/>
          <w:i/>
          <w:iCs/>
          <w:sz w:val="24"/>
          <w:szCs w:val="24"/>
        </w:rPr>
        <w:t>O trećem pitanju</w:t>
      </w:r>
    </w:p>
    <w:p w:rsidR="00FB13DF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point46"/>
      <w:r w:rsidRPr="00301BAD">
        <w:rPr>
          <w:rFonts w:ascii="Times New Roman" w:eastAsia="Times New Roman" w:hAnsi="Times New Roman" w:cs="Times New Roman"/>
          <w:sz w:val="24"/>
          <w:szCs w:val="24"/>
        </w:rPr>
        <w:t>46</w:t>
      </w:r>
      <w:bookmarkEnd w:id="4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5137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B13DF">
        <w:rPr>
          <w:rFonts w:ascii="Times New Roman" w:eastAsia="Times New Roman" w:hAnsi="Times New Roman" w:cs="Times New Roman"/>
          <w:sz w:val="24"/>
          <w:szCs w:val="24"/>
        </w:rPr>
        <w:t xml:space="preserve">vojim trećim pitanjem nacionalni sud želi znati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treba li se i nadalje ocjena koji je sud prema članku 5. stavku 1. </w:t>
      </w:r>
      <w:r w:rsidR="00B91800">
        <w:rPr>
          <w:rFonts w:ascii="Times New Roman" w:eastAsia="Times New Roman" w:hAnsi="Times New Roman" w:cs="Times New Roman"/>
          <w:sz w:val="24"/>
          <w:szCs w:val="24"/>
        </w:rPr>
        <w:t xml:space="preserve">podstavku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(a) Uredbe br. 44/2001 nadležan za odlučivanje o tužbi radi plaćanja naknade plative prema ugovoru kojim je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svom ugovornom partneru odobrio korištenje tog prava temeljiti na načelima koja pro</w:t>
      </w:r>
      <w:r w:rsidR="00451374">
        <w:rPr>
          <w:rFonts w:ascii="Times New Roman" w:eastAsia="Times New Roman" w:hAnsi="Times New Roman" w:cs="Times New Roman"/>
          <w:sz w:val="24"/>
          <w:szCs w:val="24"/>
        </w:rPr>
        <w:t xml:space="preserve">izlaze iz sudske prakse Suda u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vezi s člankom 5. stavkom 1. Briselske konvencije</w:t>
      </w:r>
    </w:p>
    <w:p w:rsidR="006217EC" w:rsidRPr="00301BAD" w:rsidRDefault="006217EC" w:rsidP="00854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point47"/>
      <w:r w:rsidRPr="00301BAD">
        <w:rPr>
          <w:rFonts w:ascii="Times New Roman" w:eastAsia="Times New Roman" w:hAnsi="Times New Roman" w:cs="Times New Roman"/>
          <w:sz w:val="24"/>
          <w:szCs w:val="24"/>
        </w:rPr>
        <w:t>47</w:t>
      </w:r>
      <w:bookmarkEnd w:id="4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Nacionalni sud posebno želi znati treba li se članak 5. stavak 1. </w:t>
      </w:r>
      <w:r w:rsidR="00B91800">
        <w:rPr>
          <w:rFonts w:ascii="Times New Roman" w:eastAsia="Times New Roman" w:hAnsi="Times New Roman" w:cs="Times New Roman"/>
          <w:sz w:val="24"/>
          <w:szCs w:val="24"/>
        </w:rPr>
        <w:t xml:space="preserve">podstavak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(a) Uredbe br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tumačiti tako da s jedne strane pojam „obveza“ u tom članku upućuje na obvezu iz ugovora čije se neispunjenje navodi kao obrazloženje tužbe i tako da se s druge strane mjesto u kojem</w:t>
      </w:r>
      <w:r w:rsidR="008543D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 je ta obveza ispunjena ili je trebala biti ispunjena treba odrediti prema kolizijskim pravilima suda pred kojim je spor pokrenut, a kako je Sud već odlučio u odnosu na članak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. stavak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konvencije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 xml:space="preserve">usporedi u svezi s </w:t>
      </w:r>
      <w:r w:rsidR="008543DF">
        <w:rPr>
          <w:rFonts w:ascii="Times New Roman" w:eastAsia="Times New Roman" w:hAnsi="Times New Roman" w:cs="Times New Roman"/>
          <w:sz w:val="24"/>
          <w:szCs w:val="24"/>
        </w:rPr>
        <w:t xml:space="preserve">pojmom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obveze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Briselske konvencije presude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De Bloos,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13,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1987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Shenavai,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266/85,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8547FA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239,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9,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lipnja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Custom Made Commercial,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288/92,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2913,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23,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Leathertex,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420/97,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6747,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31,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i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Besix,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256/00,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1699,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te u svezi s mjestom ispunjenja te obveze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 smislu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 Briselske konvencije presude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Tessili,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13,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Custom Made Commercial,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26,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rujna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1999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 xml:space="preserve">GIE Groupe Concorde </w:t>
      </w:r>
      <w:r w:rsidR="00167387" w:rsidRPr="00451374">
        <w:rPr>
          <w:rFonts w:ascii="Times New Roman" w:eastAsia="Times New Roman" w:hAnsi="Times New Roman" w:cs="Times New Roman"/>
          <w:i/>
          <w:sz w:val="24"/>
          <w:szCs w:val="24"/>
        </w:rPr>
        <w:t>i dr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440/97,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6307,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32,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Leathertex,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33,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374">
        <w:rPr>
          <w:rFonts w:ascii="Times New Roman" w:eastAsia="Times New Roman" w:hAnsi="Times New Roman" w:cs="Times New Roman"/>
          <w:i/>
          <w:sz w:val="24"/>
          <w:szCs w:val="24"/>
        </w:rPr>
        <w:t>Besix,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točke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33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36).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7" w:name="point48"/>
      <w:r w:rsidRPr="00301BAD">
        <w:rPr>
          <w:rFonts w:ascii="Times New Roman" w:eastAsia="Times New Roman" w:hAnsi="Times New Roman" w:cs="Times New Roman"/>
          <w:sz w:val="24"/>
          <w:szCs w:val="24"/>
        </w:rPr>
        <w:t>48</w:t>
      </w:r>
      <w:bookmarkEnd w:id="47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Tekst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F78">
        <w:rPr>
          <w:rFonts w:ascii="Times New Roman" w:eastAsia="Times New Roman" w:hAnsi="Times New Roman" w:cs="Times New Roman"/>
          <w:sz w:val="24"/>
          <w:szCs w:val="24"/>
        </w:rPr>
        <w:t>podstavka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u cijelosti se podudara s tekstom članka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. prve rečenice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konvencije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7387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point49"/>
      <w:r w:rsidRPr="00301BAD">
        <w:rPr>
          <w:rFonts w:ascii="Times New Roman" w:eastAsia="Times New Roman" w:hAnsi="Times New Roman" w:cs="Times New Roman"/>
          <w:sz w:val="24"/>
          <w:szCs w:val="24"/>
        </w:rPr>
        <w:t>49</w:t>
      </w:r>
      <w:bookmarkEnd w:id="48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Uredba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91800">
        <w:rPr>
          <w:rFonts w:ascii="Times New Roman" w:eastAsia="Times New Roman" w:hAnsi="Times New Roman" w:cs="Times New Roman"/>
          <w:sz w:val="24"/>
          <w:szCs w:val="24"/>
        </w:rPr>
        <w:t>tom se podstavku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 u velikoj mjeri ravna prema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konvenciji, jer je zakonodavac Zajednice želio očuvati istinski kontinuitet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 kako proizlazi iz 19. uvodne izjave ove Uredbe.</w:t>
      </w:r>
    </w:p>
    <w:p w:rsidR="00167387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" w:name="point50"/>
      <w:r w:rsidRPr="00301BAD">
        <w:rPr>
          <w:rFonts w:ascii="Times New Roman" w:eastAsia="Times New Roman" w:hAnsi="Times New Roman" w:cs="Times New Roman"/>
          <w:sz w:val="24"/>
          <w:szCs w:val="24"/>
        </w:rPr>
        <w:lastRenderedPageBreak/>
        <w:t>50</w:t>
      </w:r>
      <w:bookmarkEnd w:id="49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Uredba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služi doduše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aktualiziranju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konvencije, ali i održanju njezinog ustroja i temeljnih načela te očuvanju njezinog kontinuiteta.</w:t>
      </w:r>
    </w:p>
    <w:p w:rsidR="006217EC" w:rsidRPr="00301BAD" w:rsidRDefault="006217EC" w:rsidP="00167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" w:name="point51"/>
      <w:r w:rsidRPr="00301BAD">
        <w:rPr>
          <w:rFonts w:ascii="Times New Roman" w:eastAsia="Times New Roman" w:hAnsi="Times New Roman" w:cs="Times New Roman"/>
          <w:sz w:val="24"/>
          <w:szCs w:val="24"/>
        </w:rPr>
        <w:t>51</w:t>
      </w:r>
      <w:bookmarkEnd w:id="50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Budući da ne postoji opravdani razlog za drugačije tumačenje, zahtjev koherentnosti traži da se za članak 5. stavak 1. </w:t>
      </w:r>
      <w:r w:rsidR="00A93209">
        <w:rPr>
          <w:rFonts w:ascii="Times New Roman" w:eastAsia="Times New Roman" w:hAnsi="Times New Roman" w:cs="Times New Roman"/>
          <w:sz w:val="24"/>
          <w:szCs w:val="24"/>
        </w:rPr>
        <w:t>podstavak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 (a) Uredbe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pretpostavi isto područje primjene kao i ono u slučaju odgovarajuće odredbe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 xml:space="preserve">Bruxelleske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konvencije kako bi se zajamčilo jedinstveno tumačenje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Bruxelleske</w:t>
      </w:r>
      <w:r w:rsidR="009F34A7" w:rsidDel="009F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 xml:space="preserve">konvencije i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44/2001 (</w:t>
      </w:r>
      <w:r w:rsidR="00167387">
        <w:rPr>
          <w:rFonts w:ascii="Times New Roman" w:eastAsia="Times New Roman" w:hAnsi="Times New Roman" w:cs="Times New Roman"/>
          <w:sz w:val="24"/>
          <w:szCs w:val="24"/>
        </w:rPr>
        <w:t>usporedi u tom smislu presudu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D26">
        <w:rPr>
          <w:rFonts w:ascii="Times New Roman" w:eastAsia="Times New Roman" w:hAnsi="Times New Roman" w:cs="Times New Roman"/>
          <w:i/>
          <w:sz w:val="24"/>
          <w:szCs w:val="24"/>
        </w:rPr>
        <w:t>Henkel,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167/00,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8111,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49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217EC" w:rsidRPr="00301BAD" w:rsidRDefault="006217EC" w:rsidP="00442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" w:name="point52"/>
      <w:r w:rsidRPr="00301BAD">
        <w:rPr>
          <w:rFonts w:ascii="Times New Roman" w:eastAsia="Times New Roman" w:hAnsi="Times New Roman" w:cs="Times New Roman"/>
          <w:sz w:val="24"/>
          <w:szCs w:val="24"/>
        </w:rPr>
        <w:t>52</w:t>
      </w:r>
      <w:bookmarkEnd w:id="51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 xml:space="preserve">Kako je u svojim objašnjenjima istaknula talijanska vlada, odredbe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Bruxelleske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 xml:space="preserve"> konvencije koje su neizmijenjene preuzete Uredb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moraju se u okviru te Uredbe i nadalje tumačiti na isti način kao i ranije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 xml:space="preserve">to vrijedi tim više budući da je Uredba zamijenila 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Bruxellesku</w:t>
      </w:r>
      <w:r w:rsidR="009F34A7" w:rsidDel="009F3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 xml:space="preserve">konvenciju u odnosima između država članica 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usporedi u tom pogledu presude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D26">
        <w:rPr>
          <w:rFonts w:ascii="Times New Roman" w:eastAsia="Times New Roman" w:hAnsi="Times New Roman" w:cs="Times New Roman"/>
          <w:i/>
          <w:sz w:val="24"/>
          <w:szCs w:val="24"/>
        </w:rPr>
        <w:t>Henkel,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točku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49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i od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2003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D26">
        <w:rPr>
          <w:rFonts w:ascii="Times New Roman" w:eastAsia="Times New Roman" w:hAnsi="Times New Roman" w:cs="Times New Roman"/>
          <w:i/>
          <w:sz w:val="24"/>
          <w:szCs w:val="24"/>
        </w:rPr>
        <w:t>Gantner Electronic,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111/01, </w:t>
      </w:r>
      <w:r w:rsidR="000A51DD" w:rsidRPr="00301BAD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]</w:t>
      </w:r>
      <w:r w:rsidR="00EC70E4">
        <w:rPr>
          <w:rFonts w:ascii="Times New Roman" w:eastAsia="Times New Roman" w:hAnsi="Times New Roman" w:cs="Times New Roman"/>
          <w:sz w:val="24"/>
          <w:szCs w:val="24"/>
        </w:rPr>
        <w:t xml:space="preserve"> ECR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4207, </w:t>
      </w:r>
      <w:r w:rsidR="00442986">
        <w:rPr>
          <w:rFonts w:ascii="Times New Roman" w:eastAsia="Times New Roman" w:hAnsi="Times New Roman" w:cs="Times New Roman"/>
          <w:sz w:val="24"/>
          <w:szCs w:val="24"/>
        </w:rPr>
        <w:t>točka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28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41B6F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" w:name="point53"/>
      <w:r w:rsidRPr="00301BAD">
        <w:rPr>
          <w:rFonts w:ascii="Times New Roman" w:eastAsia="Times New Roman" w:hAnsi="Times New Roman" w:cs="Times New Roman"/>
          <w:sz w:val="24"/>
          <w:szCs w:val="24"/>
        </w:rPr>
        <w:t>53</w:t>
      </w:r>
      <w:bookmarkEnd w:id="52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E41B6F">
        <w:rPr>
          <w:rFonts w:ascii="Times New Roman" w:eastAsia="Times New Roman" w:hAnsi="Times New Roman" w:cs="Times New Roman"/>
          <w:sz w:val="24"/>
          <w:szCs w:val="24"/>
        </w:rPr>
        <w:t xml:space="preserve">Kako je iznijela vlada Ujedinjenog Kraljevstva u svojim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razmatranjima</w:t>
      </w:r>
      <w:r w:rsidR="00E41B6F">
        <w:rPr>
          <w:rFonts w:ascii="Times New Roman" w:eastAsia="Times New Roman" w:hAnsi="Times New Roman" w:cs="Times New Roman"/>
          <w:sz w:val="24"/>
          <w:szCs w:val="24"/>
        </w:rPr>
        <w:t>, taj kontinuitet u tumačenju odgovara i zahtjevima pravne sigurnosti prema kojima se ustaljena sudska praksa Suda koju zakonodavac Zajednice nije želio mijenjati ne smije dovoditi u pitanje.</w:t>
      </w:r>
    </w:p>
    <w:p w:rsidR="00336DC0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" w:name="point54"/>
      <w:r w:rsidRPr="00301BAD">
        <w:rPr>
          <w:rFonts w:ascii="Times New Roman" w:eastAsia="Times New Roman" w:hAnsi="Times New Roman" w:cs="Times New Roman"/>
          <w:sz w:val="24"/>
          <w:szCs w:val="24"/>
        </w:rPr>
        <w:t>54</w:t>
      </w:r>
      <w:bookmarkEnd w:id="53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>U tom pogledu, kako nezavisna odvjetnica iznosi u točkama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94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9F34A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svog mišljenja, i iz pripremnih aktivnosti uz Uredbu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>i iz strukture njezinog članka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>. stavka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. proizlazi da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je namjera zakonodav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>c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 xml:space="preserve">samo kod ugovora o kupoprodaji robe i ugovora o pružanju usluga bila da s jedne strane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više ne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upućuje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na spornu obvezu nego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da utvrdi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karakterističn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obvez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kod tih ugovora, a da s druge strane autonomno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odredi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 mjesto ispunjenja kao poveznicu za nadležni sud u 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sporovima iz ugovora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6DC0" w:rsidRDefault="006217EC" w:rsidP="0033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" w:name="point55"/>
      <w:r w:rsidRPr="00301BAD">
        <w:rPr>
          <w:rFonts w:ascii="Times New Roman" w:eastAsia="Times New Roman" w:hAnsi="Times New Roman" w:cs="Times New Roman"/>
          <w:sz w:val="24"/>
          <w:szCs w:val="24"/>
        </w:rPr>
        <w:t>55</w:t>
      </w:r>
      <w:bookmarkEnd w:id="54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Stoga je potrebno poći od toga da je zakonodavac Zajednice u okviru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htio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 xml:space="preserve">za sve ugovore osim onih koji se odnose na kupoprodaju robe i pružanje usluga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zadržati ona načela koja je Sud postavio u kontekstu </w:t>
      </w:r>
      <w:r w:rsidR="00812783">
        <w:rPr>
          <w:rFonts w:ascii="Times New Roman" w:eastAsia="Times New Roman" w:hAnsi="Times New Roman" w:cs="Times New Roman"/>
          <w:sz w:val="24"/>
          <w:szCs w:val="24"/>
        </w:rPr>
        <w:t>Bruxelleske</w:t>
      </w:r>
      <w:r w:rsidR="00812783" w:rsidDel="0081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>konvencije posebno u odnosu na mjerodavnu obvezu i određe</w:t>
      </w:r>
      <w:r w:rsidR="00A967B9">
        <w:rPr>
          <w:rFonts w:ascii="Times New Roman" w:eastAsia="Times New Roman" w:hAnsi="Times New Roman" w:cs="Times New Roman"/>
          <w:sz w:val="24"/>
          <w:szCs w:val="24"/>
        </w:rPr>
        <w:t>nje njezinog mjesta ispunjenja</w:t>
      </w:r>
      <w:r w:rsidR="00336D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7EC" w:rsidRPr="00301BAD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point56"/>
      <w:r w:rsidRPr="00301BAD">
        <w:rPr>
          <w:rFonts w:ascii="Times New Roman" w:eastAsia="Times New Roman" w:hAnsi="Times New Roman" w:cs="Times New Roman"/>
          <w:sz w:val="24"/>
          <w:szCs w:val="24"/>
        </w:rPr>
        <w:t>56</w:t>
      </w:r>
      <w:bookmarkEnd w:id="55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Stoga se članku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. stavku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70" w:rsidRPr="00301BAD">
        <w:rPr>
          <w:rFonts w:ascii="Times New Roman" w:eastAsia="Times New Roman" w:hAnsi="Times New Roman" w:cs="Times New Roman"/>
          <w:sz w:val="24"/>
          <w:szCs w:val="24"/>
        </w:rPr>
        <w:t>Uredbe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1F" w:rsidRPr="00301BAD">
        <w:rPr>
          <w:rFonts w:ascii="Times New Roman" w:eastAsia="Times New Roman" w:hAnsi="Times New Roman" w:cs="Times New Roman"/>
          <w:sz w:val="24"/>
          <w:szCs w:val="24"/>
        </w:rPr>
        <w:t>br.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 44/2001 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treba pripisati isto područje primjene kao ono koje ima članak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5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. stavak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. Briselske konvencije</w:t>
      </w:r>
      <w:r w:rsidRPr="00301B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1A36" w:rsidRDefault="006217EC" w:rsidP="0062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" w:name="point57"/>
      <w:r w:rsidRPr="00301BAD">
        <w:rPr>
          <w:rFonts w:ascii="Times New Roman" w:eastAsia="Times New Roman" w:hAnsi="Times New Roman" w:cs="Times New Roman"/>
          <w:sz w:val="24"/>
          <w:szCs w:val="24"/>
        </w:rPr>
        <w:t>57</w:t>
      </w:r>
      <w:bookmarkEnd w:id="56"/>
      <w:r w:rsidRPr="00301BA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Temeljem gore navedenih razmatranja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 xml:space="preserve">odgovor 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na treće pitanje treba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da se i nadalje ocjena koji je sud prema članku 5. stavku 1.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podstavku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(a) Uredbe br. 44/2001 nadležan za odlučivanje o tužbi radi plaćanja naknade plative 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ugovor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u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kojim je </w:t>
      </w:r>
      <w:r w:rsidR="00EE5165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 prava intelektualnog vlasništva dopustio svom ugovornom partneru pravo da koristi to pravo treba t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emeljiti na načelima koja proiz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2E09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 xml:space="preserve">ze iz sudske prakse Suda u svezi s člankom 5. stavkom 1. </w:t>
      </w:r>
      <w:bookmarkStart w:id="57" w:name="_GoBack"/>
      <w:bookmarkEnd w:id="57"/>
      <w:r w:rsidR="00812783">
        <w:rPr>
          <w:rFonts w:ascii="Times New Roman" w:eastAsia="Times New Roman" w:hAnsi="Times New Roman" w:cs="Times New Roman"/>
          <w:sz w:val="24"/>
          <w:szCs w:val="24"/>
        </w:rPr>
        <w:t>Bruxelleske</w:t>
      </w:r>
      <w:r w:rsidR="00812783" w:rsidDel="0081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A36">
        <w:rPr>
          <w:rFonts w:ascii="Times New Roman" w:eastAsia="Times New Roman" w:hAnsi="Times New Roman" w:cs="Times New Roman"/>
          <w:sz w:val="24"/>
          <w:szCs w:val="24"/>
        </w:rPr>
        <w:t>konvencije.</w:t>
      </w:r>
    </w:p>
    <w:sectPr w:rsidR="00F31A36" w:rsidSect="00B55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6217EC"/>
    <w:rsid w:val="00062786"/>
    <w:rsid w:val="000635DE"/>
    <w:rsid w:val="0009656F"/>
    <w:rsid w:val="000A51DD"/>
    <w:rsid w:val="000B2428"/>
    <w:rsid w:val="00161763"/>
    <w:rsid w:val="00166D76"/>
    <w:rsid w:val="00167387"/>
    <w:rsid w:val="001A147C"/>
    <w:rsid w:val="001A7298"/>
    <w:rsid w:val="001C4ED4"/>
    <w:rsid w:val="001C7A8F"/>
    <w:rsid w:val="0021499D"/>
    <w:rsid w:val="00245F08"/>
    <w:rsid w:val="00283E90"/>
    <w:rsid w:val="002C4986"/>
    <w:rsid w:val="002C7E33"/>
    <w:rsid w:val="002E09EA"/>
    <w:rsid w:val="00301BAD"/>
    <w:rsid w:val="00336DC0"/>
    <w:rsid w:val="00350F78"/>
    <w:rsid w:val="0035211A"/>
    <w:rsid w:val="00385C00"/>
    <w:rsid w:val="00390267"/>
    <w:rsid w:val="00392DD2"/>
    <w:rsid w:val="003C080E"/>
    <w:rsid w:val="00403608"/>
    <w:rsid w:val="00442600"/>
    <w:rsid w:val="00442986"/>
    <w:rsid w:val="00451374"/>
    <w:rsid w:val="00462602"/>
    <w:rsid w:val="004864FF"/>
    <w:rsid w:val="0049069C"/>
    <w:rsid w:val="00492B70"/>
    <w:rsid w:val="004A4EE0"/>
    <w:rsid w:val="004B365C"/>
    <w:rsid w:val="004D68D2"/>
    <w:rsid w:val="004D716F"/>
    <w:rsid w:val="00504C29"/>
    <w:rsid w:val="00520FFE"/>
    <w:rsid w:val="00596750"/>
    <w:rsid w:val="0060315E"/>
    <w:rsid w:val="00620270"/>
    <w:rsid w:val="006217EC"/>
    <w:rsid w:val="00672203"/>
    <w:rsid w:val="00692221"/>
    <w:rsid w:val="0072092D"/>
    <w:rsid w:val="00721A2B"/>
    <w:rsid w:val="0074685F"/>
    <w:rsid w:val="00766D26"/>
    <w:rsid w:val="00771A08"/>
    <w:rsid w:val="007A5A6A"/>
    <w:rsid w:val="007B2E0E"/>
    <w:rsid w:val="007F6D1F"/>
    <w:rsid w:val="008015DA"/>
    <w:rsid w:val="00806470"/>
    <w:rsid w:val="00812783"/>
    <w:rsid w:val="008543DF"/>
    <w:rsid w:val="008547FA"/>
    <w:rsid w:val="0093444F"/>
    <w:rsid w:val="00967550"/>
    <w:rsid w:val="009D22CA"/>
    <w:rsid w:val="009F0186"/>
    <w:rsid w:val="009F34A7"/>
    <w:rsid w:val="00A328B9"/>
    <w:rsid w:val="00A7191C"/>
    <w:rsid w:val="00A85496"/>
    <w:rsid w:val="00A93209"/>
    <w:rsid w:val="00A967B9"/>
    <w:rsid w:val="00AD2D2B"/>
    <w:rsid w:val="00AF2C21"/>
    <w:rsid w:val="00AF2DE9"/>
    <w:rsid w:val="00AF66A5"/>
    <w:rsid w:val="00B37581"/>
    <w:rsid w:val="00B50F0B"/>
    <w:rsid w:val="00B55303"/>
    <w:rsid w:val="00B70E12"/>
    <w:rsid w:val="00B91800"/>
    <w:rsid w:val="00BC32CC"/>
    <w:rsid w:val="00BE2643"/>
    <w:rsid w:val="00BF5985"/>
    <w:rsid w:val="00C012A2"/>
    <w:rsid w:val="00C602B9"/>
    <w:rsid w:val="00C66F47"/>
    <w:rsid w:val="00CC7A1D"/>
    <w:rsid w:val="00CD218E"/>
    <w:rsid w:val="00CE5469"/>
    <w:rsid w:val="00DA2C0C"/>
    <w:rsid w:val="00DA7D7A"/>
    <w:rsid w:val="00E05842"/>
    <w:rsid w:val="00E41B6F"/>
    <w:rsid w:val="00E92C48"/>
    <w:rsid w:val="00EC70E4"/>
    <w:rsid w:val="00ED00D2"/>
    <w:rsid w:val="00EE5165"/>
    <w:rsid w:val="00F152BB"/>
    <w:rsid w:val="00F31A36"/>
    <w:rsid w:val="00F3515C"/>
    <w:rsid w:val="00F66F0D"/>
    <w:rsid w:val="00F76D10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3alineacentregras">
    <w:name w:val="s73alineacentregra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centre">
    <w:name w:val="s39cen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indicateur">
    <w:name w:val="s71indicateur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titre">
    <w:name w:val="s40ti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motclenumerote">
    <w:name w:val="s35motclenumerot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motclefinretrait1">
    <w:name w:val="s37motclefinretrait1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1pointaltn">
    <w:name w:val="s01pointalt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2alineaalta">
    <w:name w:val="s02alineaalta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renvoi">
    <w:name w:val="s36renvoi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entre">
    <w:name w:val="c19cen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7EC"/>
    <w:rPr>
      <w:color w:val="0000FF"/>
      <w:u w:val="single"/>
    </w:rPr>
  </w:style>
  <w:style w:type="paragraph" w:customStyle="1" w:styleId="c71indicateur">
    <w:name w:val="c71indicateur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lineaalta">
    <w:name w:val="c02alineaalta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tiretlong">
    <w:name w:val="c03tiretlong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ebutdesmotifs">
    <w:name w:val="c75debutdesmotif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pointnumerotealtn">
    <w:name w:val="c01pointnumerotealt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titre1">
    <w:name w:val="c04titre1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titre2">
    <w:name w:val="c05titre2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marge0doubleretrait">
    <w:name w:val="c30marge0double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marge1avecretrait">
    <w:name w:val="c11marge1avec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marge2avectiretlong">
    <w:name w:val="c15marge2avectiretlong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dispositifintroduction">
    <w:name w:val="c41dispositifintroductio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dispositif">
    <w:name w:val="c08dispositif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signatures">
    <w:name w:val="c77signature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footnotelangue">
    <w:name w:val="c42footnotelangu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73alineacentregras">
    <w:name w:val="s73alineacentregra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centre">
    <w:name w:val="s39cen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indicateur">
    <w:name w:val="s71indicateur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titre">
    <w:name w:val="s40ti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motclenumerote">
    <w:name w:val="s35motclenumerot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motclefinretrait1">
    <w:name w:val="s37motclefinretrait1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1pointaltn">
    <w:name w:val="s01pointalt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2alineaalta">
    <w:name w:val="s02alineaalta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renvoi">
    <w:name w:val="s36renvoi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entre">
    <w:name w:val="c19centr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7EC"/>
    <w:rPr>
      <w:color w:val="0000FF"/>
      <w:u w:val="single"/>
    </w:rPr>
  </w:style>
  <w:style w:type="paragraph" w:customStyle="1" w:styleId="c71indicateur">
    <w:name w:val="c71indicateur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alineaalta">
    <w:name w:val="c02alineaalta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tiretlong">
    <w:name w:val="c03tiretlong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ebutdesmotifs">
    <w:name w:val="c75debutdesmotif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pointnumerotealtn">
    <w:name w:val="c01pointnumerotealt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titre1">
    <w:name w:val="c04titre1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titre2">
    <w:name w:val="c05titre2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marge0doubleretrait">
    <w:name w:val="c30marge0double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marge1avecretrait">
    <w:name w:val="c11marge1avecretrait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marge2avectiretlong">
    <w:name w:val="c15marge2avectiretlong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dispositifintroduction">
    <w:name w:val="c41dispositifintroduction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dispositif">
    <w:name w:val="c08dispositif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signatures">
    <w:name w:val="c77signatures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footnotelangue">
    <w:name w:val="c42footnotelangue"/>
    <w:basedOn w:val="Normal"/>
    <w:rsid w:val="0062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Pantel d.o.o.</Company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davor</cp:lastModifiedBy>
  <cp:revision>4</cp:revision>
  <dcterms:created xsi:type="dcterms:W3CDTF">2013-11-28T15:37:00Z</dcterms:created>
  <dcterms:modified xsi:type="dcterms:W3CDTF">2014-01-20T10:41:00Z</dcterms:modified>
</cp:coreProperties>
</file>