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F2A4" w14:textId="77777777" w:rsidR="00672D1D" w:rsidRPr="00672D1D" w:rsidRDefault="00672D1D" w:rsidP="00672D1D">
      <w:pPr>
        <w:jc w:val="center"/>
        <w:rPr>
          <w:rFonts w:ascii="Calibri" w:eastAsia="Calibri" w:hAnsi="Calibri" w:cs="Times New Roman"/>
          <w:b/>
        </w:rPr>
      </w:pPr>
      <w:bookmarkStart w:id="0" w:name="_GoBack"/>
      <w:bookmarkEnd w:id="0"/>
      <w:r w:rsidRPr="00672D1D">
        <w:rPr>
          <w:rFonts w:ascii="Calibri" w:eastAsia="Calibri" w:hAnsi="Calibri" w:cs="Times New Roman"/>
          <w:b/>
        </w:rPr>
        <w:t>Izravni učinak direktiva EU</w:t>
      </w:r>
    </w:p>
    <w:p w14:paraId="739F29DC" w14:textId="77777777" w:rsidR="00672D1D" w:rsidRDefault="00672D1D" w:rsidP="00672D1D">
      <w:pPr>
        <w:jc w:val="center"/>
        <w:rPr>
          <w:rFonts w:ascii="Calibri" w:eastAsia="Calibri" w:hAnsi="Calibri" w:cs="Times New Roman"/>
          <w:b/>
        </w:rPr>
      </w:pPr>
      <w:r w:rsidRPr="00672D1D">
        <w:rPr>
          <w:rFonts w:ascii="Calibri" w:eastAsia="Calibri" w:hAnsi="Calibri" w:cs="Times New Roman"/>
          <w:b/>
        </w:rPr>
        <w:t>Kratki prikaz sudske prakse</w:t>
      </w:r>
    </w:p>
    <w:p w14:paraId="3C15C42C" w14:textId="77777777" w:rsidR="005D40C1" w:rsidRPr="00672D1D" w:rsidRDefault="005D40C1" w:rsidP="00672D1D">
      <w:pPr>
        <w:jc w:val="center"/>
        <w:rPr>
          <w:rFonts w:ascii="Calibri" w:eastAsia="Calibri" w:hAnsi="Calibri" w:cs="Times New Roman"/>
          <w:b/>
        </w:rPr>
      </w:pPr>
      <w:r>
        <w:rPr>
          <w:rFonts w:ascii="Calibri" w:eastAsia="Calibri" w:hAnsi="Calibri" w:cs="Times New Roman"/>
          <w:b/>
        </w:rPr>
        <w:t xml:space="preserve">(Tamara </w:t>
      </w:r>
      <w:proofErr w:type="spellStart"/>
      <w:r>
        <w:rPr>
          <w:rFonts w:ascii="Calibri" w:eastAsia="Calibri" w:hAnsi="Calibri" w:cs="Times New Roman"/>
          <w:b/>
        </w:rPr>
        <w:t>Ćapeta</w:t>
      </w:r>
      <w:proofErr w:type="spellEnd"/>
      <w:r w:rsidR="00FE56BD">
        <w:rPr>
          <w:rFonts w:ascii="Calibri" w:eastAsia="Calibri" w:hAnsi="Calibri" w:cs="Calibri"/>
          <w:b/>
        </w:rPr>
        <w:t>©</w:t>
      </w:r>
      <w:r>
        <w:rPr>
          <w:rFonts w:ascii="Calibri" w:eastAsia="Calibri" w:hAnsi="Calibri" w:cs="Times New Roman"/>
          <w:b/>
        </w:rPr>
        <w:t>, 201</w:t>
      </w:r>
      <w:r w:rsidR="00FE56BD">
        <w:rPr>
          <w:rFonts w:ascii="Calibri" w:eastAsia="Calibri" w:hAnsi="Calibri" w:cs="Times New Roman"/>
          <w:b/>
        </w:rPr>
        <w:t>2</w:t>
      </w:r>
      <w:r>
        <w:rPr>
          <w:rFonts w:ascii="Calibri" w:eastAsia="Calibri" w:hAnsi="Calibri" w:cs="Times New Roman"/>
          <w:b/>
        </w:rPr>
        <w:t>.)</w:t>
      </w:r>
    </w:p>
    <w:p w14:paraId="2A13B184" w14:textId="77777777" w:rsidR="00672D1D" w:rsidRPr="00672D1D" w:rsidRDefault="00672D1D" w:rsidP="00FE3340">
      <w:pPr>
        <w:rPr>
          <w:rFonts w:ascii="Calibri" w:eastAsia="Calibri" w:hAnsi="Calibri" w:cs="Times New Roman"/>
        </w:rPr>
      </w:pPr>
    </w:p>
    <w:p w14:paraId="508DCD26" w14:textId="77777777" w:rsidR="00672D1D" w:rsidRPr="00672D1D" w:rsidRDefault="00672D1D" w:rsidP="00FE3340">
      <w:pPr>
        <w:jc w:val="both"/>
        <w:rPr>
          <w:rFonts w:ascii="Calibri" w:eastAsia="Calibri" w:hAnsi="Calibri" w:cs="Times New Roman"/>
        </w:rPr>
      </w:pPr>
      <w:r w:rsidRPr="00672D1D">
        <w:rPr>
          <w:rFonts w:ascii="Calibri" w:eastAsia="Calibri" w:hAnsi="Calibri" w:cs="Times New Roman"/>
        </w:rPr>
        <w:t>Osnovni koncept</w:t>
      </w:r>
      <w:r>
        <w:rPr>
          <w:rFonts w:ascii="Calibri" w:eastAsia="Calibri" w:hAnsi="Calibri" w:cs="Times New Roman"/>
        </w:rPr>
        <w:t xml:space="preserve">i koji su </w:t>
      </w:r>
      <w:proofErr w:type="spellStart"/>
      <w:r>
        <w:rPr>
          <w:rFonts w:ascii="Calibri" w:eastAsia="Calibri" w:hAnsi="Calibri" w:cs="Times New Roman"/>
        </w:rPr>
        <w:t>uključi</w:t>
      </w:r>
      <w:r w:rsidR="00C07E04">
        <w:rPr>
          <w:rFonts w:ascii="Calibri" w:eastAsia="Calibri" w:hAnsi="Calibri" w:cs="Times New Roman"/>
        </w:rPr>
        <w:t>l</w:t>
      </w:r>
      <w:proofErr w:type="spellEnd"/>
      <w:r>
        <w:rPr>
          <w:rFonts w:ascii="Calibri" w:eastAsia="Calibri" w:hAnsi="Calibri" w:cs="Times New Roman"/>
        </w:rPr>
        <w:t xml:space="preserve"> nacionalne sudove u europsko sudstvo bili su izravni učinak i nadređenost. Ti su koncepti rezultat federalne vizije europskog prava kakvu ima Europski sud. Europski je pravni poredak stvoren transferom regulatornih ovlasti s država članica na Europsku uniju. Upravo to opravdava da norme koje nastanu temeljem tako stečenih ovlasti izravno prodiru u </w:t>
      </w:r>
      <w:r w:rsidRPr="00672D1D">
        <w:rPr>
          <w:rFonts w:ascii="Calibri" w:eastAsia="Calibri" w:hAnsi="Calibri" w:cs="Times New Roman"/>
        </w:rPr>
        <w:t>svaki interni pravni poredak i u njemu imaju prvenstvo pred internim normama.</w:t>
      </w:r>
    </w:p>
    <w:p w14:paraId="6B040D7C" w14:textId="77777777" w:rsidR="00672D1D" w:rsidRDefault="00672D1D" w:rsidP="00FE3340">
      <w:pPr>
        <w:jc w:val="both"/>
        <w:rPr>
          <w:rFonts w:ascii="Calibri" w:eastAsia="Calibri" w:hAnsi="Calibri" w:cs="Times New Roman"/>
        </w:rPr>
      </w:pPr>
      <w:r w:rsidRPr="00672D1D">
        <w:rPr>
          <w:rFonts w:ascii="Calibri" w:eastAsia="Calibri" w:hAnsi="Calibri" w:cs="Times New Roman"/>
        </w:rPr>
        <w:t xml:space="preserve">Ukratko, nadređenost znači da </w:t>
      </w:r>
      <w:r>
        <w:rPr>
          <w:rFonts w:ascii="Calibri" w:eastAsia="Calibri" w:hAnsi="Calibri" w:cs="Times New Roman"/>
        </w:rPr>
        <w:t xml:space="preserve">je </w:t>
      </w:r>
      <w:r w:rsidRPr="00672D1D">
        <w:rPr>
          <w:rFonts w:ascii="Calibri" w:eastAsia="Calibri" w:hAnsi="Calibri" w:cs="Times New Roman"/>
        </w:rPr>
        <w:t xml:space="preserve">pravo EU </w:t>
      </w:r>
      <w:r>
        <w:rPr>
          <w:rFonts w:ascii="Calibri" w:eastAsia="Calibri" w:hAnsi="Calibri" w:cs="Times New Roman"/>
        </w:rPr>
        <w:t xml:space="preserve">nadređeno nad ranijim i kasnijim nacionalnim pravom </w:t>
      </w:r>
      <w:r w:rsidRPr="00672D1D">
        <w:rPr>
          <w:rFonts w:ascii="Calibri" w:eastAsia="Calibri" w:hAnsi="Calibri" w:cs="Times New Roman"/>
        </w:rPr>
        <w:t xml:space="preserve">(6/64 </w:t>
      </w:r>
      <w:r w:rsidRPr="00C07E04">
        <w:rPr>
          <w:rFonts w:ascii="Calibri" w:eastAsia="Calibri" w:hAnsi="Calibri" w:cs="Times New Roman"/>
          <w:i/>
          <w:lang w:val="en-GB"/>
        </w:rPr>
        <w:t>Costa</w:t>
      </w:r>
      <w:r w:rsidRPr="00C07E04">
        <w:rPr>
          <w:rFonts w:ascii="Calibri" w:eastAsia="Calibri" w:hAnsi="Calibri" w:cs="Times New Roman"/>
          <w:i/>
        </w:rPr>
        <w:t xml:space="preserve"> </w:t>
      </w:r>
      <w:r w:rsidRPr="00C07E04">
        <w:rPr>
          <w:rFonts w:ascii="Calibri" w:eastAsia="Calibri" w:hAnsi="Calibri" w:cs="Times New Roman"/>
          <w:i/>
          <w:lang w:val="en-GB"/>
        </w:rPr>
        <w:t>v</w:t>
      </w:r>
      <w:r w:rsidRPr="00C07E04">
        <w:rPr>
          <w:rFonts w:ascii="Calibri" w:eastAsia="Calibri" w:hAnsi="Calibri" w:cs="Times New Roman"/>
          <w:i/>
        </w:rPr>
        <w:t xml:space="preserve">. </w:t>
      </w:r>
      <w:r w:rsidRPr="00C07E04">
        <w:rPr>
          <w:rFonts w:ascii="Calibri" w:eastAsia="Calibri" w:hAnsi="Calibri" w:cs="Times New Roman"/>
          <w:i/>
          <w:lang w:val="en-GB"/>
        </w:rPr>
        <w:t>ENEL</w:t>
      </w:r>
      <w:r w:rsidRPr="00672D1D">
        <w:rPr>
          <w:rFonts w:ascii="Calibri" w:eastAsia="Calibri" w:hAnsi="Calibri" w:cs="Times New Roman"/>
        </w:rPr>
        <w:t>)</w:t>
      </w:r>
      <w:r w:rsidR="009D4929">
        <w:rPr>
          <w:rFonts w:ascii="Calibri" w:eastAsia="Calibri" w:hAnsi="Calibri" w:cs="Times New Roman"/>
        </w:rPr>
        <w:t>.</w:t>
      </w:r>
      <w:r>
        <w:rPr>
          <w:rFonts w:ascii="Calibri" w:eastAsia="Calibri" w:hAnsi="Calibri" w:cs="Times New Roman"/>
        </w:rPr>
        <w:t xml:space="preserve"> </w:t>
      </w:r>
    </w:p>
    <w:p w14:paraId="1586305B" w14:textId="77777777" w:rsidR="00672D1D" w:rsidRDefault="00672D1D" w:rsidP="00FE3340">
      <w:pPr>
        <w:jc w:val="both"/>
        <w:rPr>
          <w:rFonts w:ascii="Calibri" w:eastAsia="Calibri" w:hAnsi="Calibri" w:cs="Times New Roman"/>
        </w:rPr>
      </w:pPr>
      <w:r>
        <w:rPr>
          <w:rFonts w:ascii="Calibri" w:eastAsia="Calibri" w:hAnsi="Calibri" w:cs="Times New Roman"/>
        </w:rPr>
        <w:t xml:space="preserve">Izravni učinak znači da su jasne, precizne i bezuvjetne norme prava EU izravno primjenjive od strane različitih tijela u državama članicama, uključujući sudove. Izravni učinak također znači da takve EU norme stvaraju izravno subjektivna prava za pojedince kojima su nacionalni sudovi obvezni pružiti zaštitu. Europski je sud po prvi puta objasnio izravni učinak u predmetu 26/62 </w:t>
      </w:r>
      <w:r w:rsidRPr="005060CC">
        <w:rPr>
          <w:rFonts w:ascii="Calibri" w:eastAsia="Calibri" w:hAnsi="Calibri" w:cs="Times New Roman"/>
          <w:i/>
        </w:rPr>
        <w:t xml:space="preserve">Van </w:t>
      </w:r>
      <w:proofErr w:type="spellStart"/>
      <w:r w:rsidRPr="005060CC">
        <w:rPr>
          <w:rFonts w:ascii="Calibri" w:eastAsia="Calibri" w:hAnsi="Calibri" w:cs="Times New Roman"/>
          <w:i/>
        </w:rPr>
        <w:t>Gend</w:t>
      </w:r>
      <w:proofErr w:type="spellEnd"/>
      <w:r w:rsidRPr="005060CC">
        <w:rPr>
          <w:rFonts w:ascii="Calibri" w:eastAsia="Calibri" w:hAnsi="Calibri" w:cs="Times New Roman"/>
          <w:i/>
        </w:rPr>
        <w:t xml:space="preserve"> </w:t>
      </w:r>
      <w:proofErr w:type="spellStart"/>
      <w:r w:rsidRPr="005060CC">
        <w:rPr>
          <w:rFonts w:ascii="Calibri" w:eastAsia="Calibri" w:hAnsi="Calibri" w:cs="Times New Roman"/>
          <w:i/>
        </w:rPr>
        <w:t>en</w:t>
      </w:r>
      <w:proofErr w:type="spellEnd"/>
      <w:r w:rsidRPr="005060CC">
        <w:rPr>
          <w:rFonts w:ascii="Calibri" w:eastAsia="Calibri" w:hAnsi="Calibri" w:cs="Times New Roman"/>
          <w:i/>
        </w:rPr>
        <w:t xml:space="preserve"> </w:t>
      </w:r>
      <w:proofErr w:type="spellStart"/>
      <w:r w:rsidRPr="005060CC">
        <w:rPr>
          <w:rFonts w:ascii="Calibri" w:eastAsia="Calibri" w:hAnsi="Calibri" w:cs="Times New Roman"/>
          <w:i/>
        </w:rPr>
        <w:t>Loos</w:t>
      </w:r>
      <w:proofErr w:type="spellEnd"/>
      <w:r>
        <w:rPr>
          <w:rFonts w:ascii="Calibri" w:eastAsia="Calibri" w:hAnsi="Calibri" w:cs="Times New Roman"/>
        </w:rPr>
        <w:t>. U tom je predmetu Sud utvrdio postojanje izravnog učinka odredbe Osnivačkog ugovora.</w:t>
      </w:r>
    </w:p>
    <w:p w14:paraId="57F9D286" w14:textId="77777777" w:rsidR="00672D1D" w:rsidRDefault="00672D1D" w:rsidP="00FE3340">
      <w:pPr>
        <w:jc w:val="both"/>
        <w:rPr>
          <w:rFonts w:ascii="Calibri" w:eastAsia="Calibri" w:hAnsi="Calibri" w:cs="Times New Roman"/>
        </w:rPr>
      </w:pPr>
      <w:r>
        <w:rPr>
          <w:rFonts w:ascii="Calibri" w:eastAsia="Calibri" w:hAnsi="Calibri" w:cs="Times New Roman"/>
        </w:rPr>
        <w:t xml:space="preserve">Posljedica kombinacije izravnog učinka i nadređenosti prava EU za nacionalne sudove jest nastanak obveze da izravno primjene normu prava EU, ostavljajući pri tome neprimijenjenom, ako je potrebno, bilo koju suprotnu normu domaćeg prava, uključujući i zakonsku </w:t>
      </w:r>
      <w:r w:rsidR="009D4929">
        <w:rPr>
          <w:rFonts w:ascii="Calibri" w:eastAsia="Calibri" w:hAnsi="Calibri" w:cs="Times New Roman"/>
        </w:rPr>
        <w:t>(</w:t>
      </w:r>
      <w:r w:rsidRPr="00672D1D">
        <w:rPr>
          <w:rFonts w:ascii="Calibri" w:eastAsia="Calibri" w:hAnsi="Calibri" w:cs="Times New Roman"/>
        </w:rPr>
        <w:t xml:space="preserve">106/77 </w:t>
      </w:r>
      <w:proofErr w:type="spellStart"/>
      <w:r w:rsidRPr="008D7A9D">
        <w:rPr>
          <w:rFonts w:ascii="Calibri" w:eastAsia="Calibri" w:hAnsi="Calibri" w:cs="Times New Roman"/>
          <w:i/>
          <w:lang w:val="en-GB"/>
        </w:rPr>
        <w:t>Simmenthal</w:t>
      </w:r>
      <w:proofErr w:type="spellEnd"/>
      <w:r w:rsidR="009D4929" w:rsidRPr="009D4929">
        <w:rPr>
          <w:rFonts w:ascii="Calibri" w:eastAsia="Calibri" w:hAnsi="Calibri" w:cs="Times New Roman"/>
        </w:rPr>
        <w:t>).</w:t>
      </w:r>
    </w:p>
    <w:p w14:paraId="260E32C0" w14:textId="77777777" w:rsidR="003D7F2B" w:rsidRDefault="002766FD" w:rsidP="00FE3340">
      <w:pPr>
        <w:jc w:val="both"/>
        <w:rPr>
          <w:rFonts w:ascii="Calibri" w:eastAsia="Calibri" w:hAnsi="Calibri" w:cs="Times New Roman"/>
        </w:rPr>
      </w:pPr>
      <w:r>
        <w:rPr>
          <w:rFonts w:ascii="Calibri" w:eastAsia="Calibri" w:hAnsi="Calibri" w:cs="Times New Roman"/>
        </w:rPr>
        <w:t>Izravni je učinak postao složen koncept od trenutka kad ga je Europski sud primijenio na direktive. Direktive su, uz uredbe, najvažniji zakonodavni instrument Unije. Njihov kapacitet da stvaraju prava za pojedince nezavisno od provedbenih mjera država članica u potpunosti se razvijao kroz sudsku praksu</w:t>
      </w:r>
      <w:r w:rsidR="003D7F2B">
        <w:rPr>
          <w:rFonts w:ascii="Calibri" w:eastAsia="Calibri" w:hAnsi="Calibri" w:cs="Times New Roman"/>
        </w:rPr>
        <w:t>. Ista je sudska praksa objašnjavala i prateće obveze nacionalnih sudova u primjeni direktiva.</w:t>
      </w:r>
    </w:p>
    <w:p w14:paraId="09BDC1F3" w14:textId="77777777" w:rsidR="003D7F2B" w:rsidRDefault="003D7F2B" w:rsidP="00FE3340">
      <w:pPr>
        <w:jc w:val="both"/>
        <w:rPr>
          <w:rFonts w:ascii="Calibri" w:eastAsia="Calibri" w:hAnsi="Calibri" w:cs="Times New Roman"/>
        </w:rPr>
      </w:pPr>
      <w:r>
        <w:rPr>
          <w:rFonts w:ascii="Calibri" w:eastAsia="Calibri" w:hAnsi="Calibri" w:cs="Times New Roman"/>
        </w:rPr>
        <w:t>Kako se koncept razvijao kroz sudsku praksu, dio po dio, ovisno o tome kako su pred Sud dolazili predmeti, te kako je Sud zbog ne-pristanka nekih nacionalnih sudova da prihvate novi koncept morao dodavati nova opravdanja, izravni je učinak s vremenom postao vrlo kompleksan.</w:t>
      </w:r>
    </w:p>
    <w:p w14:paraId="4FC644B8" w14:textId="77777777" w:rsidR="002766FD" w:rsidRDefault="003D7F2B" w:rsidP="00FE3340">
      <w:pPr>
        <w:jc w:val="both"/>
        <w:rPr>
          <w:rFonts w:ascii="Calibri" w:eastAsia="Calibri" w:hAnsi="Calibri" w:cs="Times New Roman"/>
        </w:rPr>
      </w:pPr>
      <w:r>
        <w:rPr>
          <w:rFonts w:ascii="Calibri" w:eastAsia="Calibri" w:hAnsi="Calibri" w:cs="Times New Roman"/>
        </w:rPr>
        <w:t>Slijedi vrlo kratki prikaz osnovnih predmeta kroz koje je Europski sud polako oblikovao koncept izravnog učinka direktiva.</w:t>
      </w:r>
    </w:p>
    <w:p w14:paraId="04471E97" w14:textId="77777777" w:rsidR="003D7F2B" w:rsidRDefault="003D7F2B" w:rsidP="00FE3340">
      <w:pPr>
        <w:jc w:val="both"/>
        <w:rPr>
          <w:rFonts w:ascii="Calibri" w:eastAsia="Calibri" w:hAnsi="Calibri" w:cs="Times New Roman"/>
        </w:rPr>
      </w:pPr>
      <w:r>
        <w:rPr>
          <w:rFonts w:ascii="Calibri" w:eastAsia="Calibri" w:hAnsi="Calibri" w:cs="Times New Roman"/>
        </w:rPr>
        <w:t>Tekst članka 288 UFEU (do Lisabona, 249 EZ) ne sugerira nužno da direktive imaju izravni učinak:</w:t>
      </w:r>
    </w:p>
    <w:p w14:paraId="376D2EDE" w14:textId="77777777" w:rsidR="003D7F2B" w:rsidRPr="003D7F2B" w:rsidRDefault="003D7F2B" w:rsidP="003D7F2B">
      <w:pPr>
        <w:ind w:left="708"/>
        <w:jc w:val="both"/>
        <w:rPr>
          <w:rFonts w:ascii="Calibri" w:eastAsia="Calibri" w:hAnsi="Calibri" w:cs="Times New Roman"/>
          <w:i/>
        </w:rPr>
      </w:pPr>
      <w:r w:rsidRPr="003D7F2B">
        <w:rPr>
          <w:rFonts w:ascii="Calibri" w:eastAsia="Calibri" w:hAnsi="Calibri" w:cs="Times New Roman"/>
          <w:i/>
        </w:rPr>
        <w:t xml:space="preserve">„Direktiva je u pogledu rezultata koje treba postići obvezujuća za svaku državu članicu kojoj je upućena, ali ostavlja nacionalnim vlastima izbor forme i metoda.“ </w:t>
      </w:r>
    </w:p>
    <w:p w14:paraId="72ABD456" w14:textId="77777777" w:rsidR="00FE3340" w:rsidRPr="003D7F2B" w:rsidRDefault="003D7F2B" w:rsidP="00FE3340">
      <w:pPr>
        <w:jc w:val="both"/>
        <w:rPr>
          <w:rFonts w:ascii="Calibri" w:eastAsia="Calibri" w:hAnsi="Calibri" w:cs="Times New Roman"/>
        </w:rPr>
      </w:pPr>
      <w:r w:rsidRPr="003D7F2B">
        <w:rPr>
          <w:rFonts w:ascii="Calibri" w:eastAsia="Calibri" w:hAnsi="Calibri" w:cs="Times New Roman"/>
        </w:rPr>
        <w:t>Tekst na engleskom jeziku glasi:</w:t>
      </w:r>
    </w:p>
    <w:p w14:paraId="44FDD157" w14:textId="77777777" w:rsidR="00FE3340" w:rsidRPr="007C5D7D" w:rsidRDefault="00FE3340" w:rsidP="00FE3340">
      <w:pPr>
        <w:ind w:left="1440"/>
        <w:jc w:val="both"/>
        <w:rPr>
          <w:rFonts w:ascii="Calibri" w:eastAsia="Calibri" w:hAnsi="Calibri" w:cs="Times New Roman"/>
          <w:i/>
          <w:lang w:val="en-GB"/>
        </w:rPr>
      </w:pPr>
      <w:r w:rsidRPr="007C5D7D">
        <w:rPr>
          <w:rFonts w:ascii="Calibri" w:eastAsia="Calibri" w:hAnsi="Calibri" w:cs="Times New Roman"/>
          <w:i/>
          <w:lang w:val="en-GB"/>
        </w:rPr>
        <w:t>“A directive shall be binding, as to the result to be achieved, upon each Member State to which it is addressed, but shall leave to the national authorities the choice of form and methods.“</w:t>
      </w:r>
    </w:p>
    <w:p w14:paraId="5854D83C" w14:textId="77777777" w:rsidR="00FE3340" w:rsidRPr="007C5D7D" w:rsidRDefault="00FE3340" w:rsidP="00FE3340">
      <w:pPr>
        <w:ind w:left="360"/>
        <w:jc w:val="both"/>
        <w:rPr>
          <w:rFonts w:ascii="Calibri" w:eastAsia="Calibri" w:hAnsi="Calibri" w:cs="Times New Roman"/>
          <w:lang w:val="en-GB"/>
        </w:rPr>
      </w:pPr>
    </w:p>
    <w:p w14:paraId="49F869A3" w14:textId="77777777" w:rsidR="00A652F1" w:rsidRPr="00A652F1" w:rsidRDefault="00A652F1" w:rsidP="00FE3340">
      <w:pPr>
        <w:jc w:val="both"/>
        <w:rPr>
          <w:rFonts w:ascii="Calibri" w:eastAsia="Calibri" w:hAnsi="Calibri" w:cs="Times New Roman"/>
        </w:rPr>
      </w:pPr>
      <w:r w:rsidRPr="00A652F1">
        <w:rPr>
          <w:rFonts w:ascii="Calibri" w:eastAsia="Calibri" w:hAnsi="Calibri" w:cs="Times New Roman"/>
        </w:rPr>
        <w:t>Bez obzira na to</w:t>
      </w:r>
      <w:r>
        <w:rPr>
          <w:rFonts w:ascii="Calibri" w:eastAsia="Calibri" w:hAnsi="Calibri" w:cs="Times New Roman"/>
        </w:rPr>
        <w:t>, Europski je sud još u ranim sedamdesetim prepoznao da i direktive mogu imati izravni učinak.</w:t>
      </w:r>
      <w:r w:rsidR="00775A6F">
        <w:rPr>
          <w:rFonts w:ascii="Calibri" w:eastAsia="Calibri" w:hAnsi="Calibri" w:cs="Times New Roman"/>
        </w:rPr>
        <w:t xml:space="preserve"> Prvi predmet u kojem je Sud utvrdio takvu mogućnost jest predmet </w:t>
      </w:r>
      <w:r w:rsidRPr="00A652F1">
        <w:rPr>
          <w:rFonts w:ascii="Calibri" w:eastAsia="Calibri" w:hAnsi="Calibri" w:cs="Times New Roman"/>
        </w:rPr>
        <w:t xml:space="preserve"> </w:t>
      </w:r>
      <w:r w:rsidR="00775A6F" w:rsidRPr="00775A6F">
        <w:rPr>
          <w:rFonts w:ascii="Calibri" w:eastAsia="Calibri" w:hAnsi="Calibri" w:cs="Times New Roman"/>
        </w:rPr>
        <w:t xml:space="preserve">41/74 </w:t>
      </w:r>
      <w:r w:rsidR="00775A6F" w:rsidRPr="00775A6F">
        <w:rPr>
          <w:rFonts w:ascii="Calibri" w:eastAsia="Calibri" w:hAnsi="Calibri" w:cs="Times New Roman"/>
          <w:i/>
          <w:lang w:val="en-GB"/>
        </w:rPr>
        <w:t>Van</w:t>
      </w:r>
      <w:r w:rsidR="00775A6F" w:rsidRPr="00775A6F">
        <w:rPr>
          <w:rFonts w:ascii="Calibri" w:eastAsia="Calibri" w:hAnsi="Calibri" w:cs="Times New Roman"/>
          <w:i/>
        </w:rPr>
        <w:t xml:space="preserve"> </w:t>
      </w:r>
      <w:proofErr w:type="spellStart"/>
      <w:r w:rsidR="00775A6F" w:rsidRPr="00775A6F">
        <w:rPr>
          <w:rFonts w:ascii="Calibri" w:eastAsia="Calibri" w:hAnsi="Calibri" w:cs="Times New Roman"/>
          <w:i/>
          <w:lang w:val="en-GB"/>
        </w:rPr>
        <w:t>Duyn</w:t>
      </w:r>
      <w:proofErr w:type="spellEnd"/>
      <w:r w:rsidR="00775A6F" w:rsidRPr="00775A6F">
        <w:rPr>
          <w:rFonts w:ascii="Calibri" w:eastAsia="Calibri" w:hAnsi="Calibri" w:cs="Times New Roman"/>
        </w:rPr>
        <w:t>:</w:t>
      </w:r>
    </w:p>
    <w:p w14:paraId="59F96502" w14:textId="77777777" w:rsidR="00FE3340" w:rsidRPr="00775A6F" w:rsidRDefault="00FE3340" w:rsidP="00FE3340">
      <w:pPr>
        <w:numPr>
          <w:ilvl w:val="1"/>
          <w:numId w:val="1"/>
        </w:numPr>
        <w:spacing w:after="0" w:line="240" w:lineRule="auto"/>
        <w:jc w:val="both"/>
        <w:rPr>
          <w:rFonts w:ascii="Calibri" w:eastAsia="Calibri" w:hAnsi="Calibri" w:cs="Times New Roman"/>
        </w:rPr>
      </w:pPr>
      <w:r w:rsidRPr="00775A6F">
        <w:rPr>
          <w:rFonts w:ascii="Calibri" w:eastAsia="Calibri" w:hAnsi="Calibri" w:cs="Times New Roman"/>
        </w:rPr>
        <w:t>Para</w:t>
      </w:r>
      <w:r w:rsidR="00775A6F" w:rsidRPr="00775A6F">
        <w:rPr>
          <w:rFonts w:ascii="Calibri" w:eastAsia="Calibri" w:hAnsi="Calibri" w:cs="Times New Roman"/>
        </w:rPr>
        <w:t>graf</w:t>
      </w:r>
      <w:r w:rsidRPr="00775A6F">
        <w:rPr>
          <w:rFonts w:ascii="Calibri" w:eastAsia="Calibri" w:hAnsi="Calibri" w:cs="Times New Roman"/>
        </w:rPr>
        <w:t xml:space="preserve"> 12 </w:t>
      </w:r>
      <w:r w:rsidR="00775A6F" w:rsidRPr="00775A6F">
        <w:rPr>
          <w:rFonts w:ascii="Calibri" w:eastAsia="Calibri" w:hAnsi="Calibri" w:cs="Times New Roman"/>
        </w:rPr>
        <w:t xml:space="preserve">presude u predmetu </w:t>
      </w:r>
      <w:r w:rsidRPr="00775A6F">
        <w:rPr>
          <w:rFonts w:ascii="Calibri" w:eastAsia="Calibri" w:hAnsi="Calibri" w:cs="Times New Roman"/>
          <w:i/>
        </w:rPr>
        <w:t xml:space="preserve">Van </w:t>
      </w:r>
      <w:proofErr w:type="spellStart"/>
      <w:r w:rsidRPr="00775A6F">
        <w:rPr>
          <w:rFonts w:ascii="Calibri" w:eastAsia="Calibri" w:hAnsi="Calibri" w:cs="Times New Roman"/>
          <w:i/>
        </w:rPr>
        <w:t>Duyn</w:t>
      </w:r>
      <w:proofErr w:type="spellEnd"/>
      <w:r w:rsidRPr="00775A6F">
        <w:rPr>
          <w:rFonts w:ascii="Calibri" w:eastAsia="Calibri" w:hAnsi="Calibri" w:cs="Times New Roman"/>
        </w:rPr>
        <w:t xml:space="preserve">:  </w:t>
      </w:r>
    </w:p>
    <w:p w14:paraId="4FA4F2EA" w14:textId="77777777" w:rsidR="00FE3340" w:rsidRDefault="00FE3340" w:rsidP="00FE3340">
      <w:pPr>
        <w:ind w:left="1080"/>
        <w:jc w:val="both"/>
        <w:rPr>
          <w:rFonts w:ascii="Calibri" w:eastAsia="Calibri" w:hAnsi="Calibri" w:cs="Times New Roman"/>
          <w:lang w:val="en-GB"/>
        </w:rPr>
      </w:pPr>
      <w:r w:rsidRPr="007C5D7D">
        <w:rPr>
          <w:rFonts w:ascii="Calibri" w:eastAsia="Calibri" w:hAnsi="Calibri" w:cs="Times New Roman"/>
          <w:i/>
          <w:iCs/>
          <w:lang w:val="en-GB"/>
        </w:rPr>
        <w:t xml:space="preserve">“If, however, by virtue of the provisions of article 189 regulations are directly applicable and, consequently, may by their very nature have direct effects, it does not follow from this that other categories of acts mentioned in that article can never have </w:t>
      </w:r>
      <w:r w:rsidRPr="007C5D7D">
        <w:rPr>
          <w:rFonts w:ascii="Calibri" w:eastAsia="Calibri" w:hAnsi="Calibri" w:cs="Times New Roman"/>
          <w:i/>
          <w:iCs/>
          <w:u w:val="single"/>
          <w:lang w:val="en-GB"/>
        </w:rPr>
        <w:t>similar effects</w:t>
      </w:r>
      <w:r w:rsidRPr="007C5D7D">
        <w:rPr>
          <w:rFonts w:ascii="Calibri" w:eastAsia="Calibri" w:hAnsi="Calibri" w:cs="Times New Roman"/>
          <w:lang w:val="en-GB"/>
        </w:rPr>
        <w:t>.</w:t>
      </w:r>
      <w:r>
        <w:rPr>
          <w:rFonts w:ascii="Calibri" w:eastAsia="Calibri" w:hAnsi="Calibri" w:cs="Times New Roman"/>
          <w:lang w:val="en-GB"/>
        </w:rPr>
        <w:t>”</w:t>
      </w:r>
      <w:r w:rsidRPr="007C5D7D">
        <w:rPr>
          <w:rFonts w:ascii="Calibri" w:eastAsia="Calibri" w:hAnsi="Calibri" w:cs="Times New Roman"/>
          <w:lang w:val="en-GB"/>
        </w:rPr>
        <w:t xml:space="preserve"> </w:t>
      </w:r>
    </w:p>
    <w:p w14:paraId="0607D826" w14:textId="77777777" w:rsidR="00775A6F" w:rsidRDefault="00775A6F" w:rsidP="00FE3340">
      <w:pPr>
        <w:ind w:left="1080"/>
        <w:jc w:val="both"/>
        <w:rPr>
          <w:rFonts w:ascii="Calibri" w:eastAsia="Calibri" w:hAnsi="Calibri" w:cs="Times New Roman"/>
        </w:rPr>
      </w:pPr>
      <w:r w:rsidRPr="00775A6F">
        <w:rPr>
          <w:rFonts w:ascii="Calibri" w:eastAsia="Calibri" w:hAnsi="Calibri" w:cs="Times New Roman"/>
          <w:i/>
          <w:iCs/>
        </w:rPr>
        <w:t>(HR</w:t>
      </w:r>
      <w:r w:rsidRPr="00775A6F">
        <w:rPr>
          <w:rFonts w:ascii="Calibri" w:eastAsia="Calibri" w:hAnsi="Calibri" w:cs="Times New Roman"/>
        </w:rPr>
        <w:t xml:space="preserve">: Ako su, međutim, temeljem odredbe članka 189 [danas 288 UFEU] uredbe izravno primjenjive i stoga </w:t>
      </w:r>
      <w:r>
        <w:rPr>
          <w:rFonts w:ascii="Calibri" w:eastAsia="Calibri" w:hAnsi="Calibri" w:cs="Times New Roman"/>
        </w:rPr>
        <w:t>mogu, temeljem svoje prirode imati izravni učinak, iz toga ne slijedi da i druge kategorije akata spomenutih u tom članku ne mogu nikad imati slične učinke.“)</w:t>
      </w:r>
    </w:p>
    <w:p w14:paraId="75FBD4D0" w14:textId="77777777" w:rsidR="0085307D" w:rsidRDefault="0085307D" w:rsidP="0085307D">
      <w:pPr>
        <w:jc w:val="both"/>
        <w:rPr>
          <w:rFonts w:ascii="Calibri" w:eastAsia="Calibri" w:hAnsi="Calibri" w:cs="Times New Roman"/>
        </w:rPr>
      </w:pPr>
    </w:p>
    <w:p w14:paraId="59201371" w14:textId="77777777" w:rsidR="0085307D" w:rsidRPr="00775A6F" w:rsidRDefault="0085307D" w:rsidP="0085307D">
      <w:pPr>
        <w:jc w:val="both"/>
        <w:rPr>
          <w:rFonts w:ascii="Calibri" w:eastAsia="Calibri" w:hAnsi="Calibri" w:cs="Times New Roman"/>
        </w:rPr>
      </w:pPr>
      <w:r>
        <w:rPr>
          <w:rFonts w:ascii="Calibri" w:eastAsia="Calibri" w:hAnsi="Calibri" w:cs="Times New Roman"/>
        </w:rPr>
        <w:t xml:space="preserve">Osnovno opravdanje koje je Sud ponudio u prilog prepoznavanja izravnog učinka direktiva u predmetu Van </w:t>
      </w:r>
      <w:proofErr w:type="spellStart"/>
      <w:r>
        <w:rPr>
          <w:rFonts w:ascii="Calibri" w:eastAsia="Calibri" w:hAnsi="Calibri" w:cs="Times New Roman"/>
        </w:rPr>
        <w:t>Duyn</w:t>
      </w:r>
      <w:proofErr w:type="spellEnd"/>
      <w:r>
        <w:rPr>
          <w:rFonts w:ascii="Calibri" w:eastAsia="Calibri" w:hAnsi="Calibri" w:cs="Times New Roman"/>
        </w:rPr>
        <w:t xml:space="preserve"> bila je potreba za djelotvornošću direktiva kao pravnih instrumenata:</w:t>
      </w:r>
    </w:p>
    <w:p w14:paraId="3E96B4D6" w14:textId="77777777" w:rsidR="00FE3340" w:rsidRPr="00775A6F" w:rsidRDefault="00FE3340" w:rsidP="00FE3340">
      <w:pPr>
        <w:pStyle w:val="BodyText"/>
        <w:ind w:left="360"/>
        <w:rPr>
          <w:lang w:val="hr-HR"/>
        </w:rPr>
      </w:pPr>
    </w:p>
    <w:p w14:paraId="36A446F7" w14:textId="77777777" w:rsidR="00FE3340" w:rsidRPr="00267B52" w:rsidRDefault="0085307D" w:rsidP="00FE3340">
      <w:pPr>
        <w:numPr>
          <w:ilvl w:val="1"/>
          <w:numId w:val="1"/>
        </w:numPr>
        <w:spacing w:after="0" w:line="240" w:lineRule="auto"/>
        <w:jc w:val="both"/>
        <w:rPr>
          <w:rFonts w:eastAsia="Calibri" w:cs="Times New Roman"/>
          <w:lang w:val="en-GB"/>
        </w:rPr>
      </w:pPr>
      <w:r>
        <w:rPr>
          <w:rFonts w:eastAsia="Calibri" w:cs="Times New Roman"/>
          <w:lang w:val="en-GB"/>
        </w:rPr>
        <w:t xml:space="preserve">paragraph </w:t>
      </w:r>
      <w:r w:rsidR="00FE3340" w:rsidRPr="00267B52">
        <w:rPr>
          <w:rFonts w:eastAsia="Calibri" w:cs="Times New Roman"/>
          <w:lang w:val="en-GB"/>
        </w:rPr>
        <w:t xml:space="preserve">12 </w:t>
      </w:r>
      <w:r w:rsidRPr="00775A6F">
        <w:rPr>
          <w:rFonts w:ascii="Calibri" w:eastAsia="Calibri" w:hAnsi="Calibri" w:cs="Times New Roman"/>
        </w:rPr>
        <w:t xml:space="preserve">presude </w:t>
      </w:r>
      <w:r w:rsidRPr="0085307D">
        <w:rPr>
          <w:rFonts w:ascii="Calibri" w:eastAsia="Calibri" w:hAnsi="Calibri" w:cs="Times New Roman"/>
        </w:rPr>
        <w:t xml:space="preserve">u predmetu </w:t>
      </w:r>
      <w:r w:rsidRPr="0085307D">
        <w:rPr>
          <w:rFonts w:ascii="Calibri" w:eastAsia="Calibri" w:hAnsi="Calibri" w:cs="Times New Roman"/>
          <w:i/>
        </w:rPr>
        <w:t xml:space="preserve">Van </w:t>
      </w:r>
      <w:proofErr w:type="spellStart"/>
      <w:r w:rsidRPr="0085307D">
        <w:rPr>
          <w:rFonts w:ascii="Calibri" w:eastAsia="Calibri" w:hAnsi="Calibri" w:cs="Times New Roman"/>
          <w:i/>
        </w:rPr>
        <w:t>Duyn</w:t>
      </w:r>
      <w:proofErr w:type="spellEnd"/>
      <w:r w:rsidRPr="0085307D">
        <w:rPr>
          <w:rFonts w:eastAsia="Calibri" w:cs="Times New Roman"/>
        </w:rPr>
        <w:t xml:space="preserve"> (nastavak):</w:t>
      </w:r>
      <w:r>
        <w:rPr>
          <w:rFonts w:eastAsia="Calibri" w:cs="Times New Roman"/>
          <w:lang w:val="en-GB"/>
        </w:rPr>
        <w:t xml:space="preserve"> </w:t>
      </w:r>
    </w:p>
    <w:p w14:paraId="574347AC" w14:textId="77777777" w:rsidR="00FE3340" w:rsidRDefault="00FE3340" w:rsidP="00FE3340">
      <w:pPr>
        <w:pStyle w:val="BodyTextIndent"/>
        <w:rPr>
          <w:rFonts w:asciiTheme="minorHAnsi" w:hAnsiTheme="minorHAnsi"/>
          <w:sz w:val="22"/>
          <w:szCs w:val="22"/>
          <w:lang w:val="en-GB"/>
        </w:rPr>
      </w:pPr>
      <w:r w:rsidRPr="00267B52">
        <w:rPr>
          <w:rFonts w:asciiTheme="minorHAnsi" w:hAnsiTheme="minorHAnsi"/>
          <w:sz w:val="22"/>
          <w:szCs w:val="22"/>
          <w:lang w:val="en-GB"/>
        </w:rPr>
        <w:t>“… the useful effect of such an act would be weakened if individuals were prevented from relying on it before their national courts and if the latter were prevented from taking it into consideration as an element of Community law.”</w:t>
      </w:r>
    </w:p>
    <w:p w14:paraId="4B21786F" w14:textId="77777777" w:rsidR="0085307D" w:rsidRDefault="0085307D" w:rsidP="00FE3340">
      <w:pPr>
        <w:pStyle w:val="BodyTextIndent"/>
        <w:rPr>
          <w:rFonts w:asciiTheme="minorHAnsi" w:hAnsiTheme="minorHAnsi"/>
          <w:sz w:val="22"/>
          <w:szCs w:val="22"/>
          <w:lang w:val="en-GB"/>
        </w:rPr>
      </w:pPr>
    </w:p>
    <w:p w14:paraId="5E162A31" w14:textId="77777777" w:rsidR="0085307D" w:rsidRPr="00267B52" w:rsidRDefault="0085307D" w:rsidP="00FE3340">
      <w:pPr>
        <w:pStyle w:val="BodyTextIndent"/>
        <w:rPr>
          <w:rFonts w:asciiTheme="minorHAnsi" w:hAnsiTheme="minorHAnsi"/>
          <w:sz w:val="22"/>
          <w:szCs w:val="22"/>
          <w:lang w:val="en-GB"/>
        </w:rPr>
      </w:pPr>
      <w:r>
        <w:rPr>
          <w:rFonts w:asciiTheme="minorHAnsi" w:hAnsiTheme="minorHAnsi"/>
          <w:sz w:val="22"/>
          <w:szCs w:val="22"/>
          <w:lang w:val="en-GB"/>
        </w:rPr>
        <w:t xml:space="preserve">(HR: ... </w:t>
      </w:r>
      <w:r w:rsidRPr="0085307D">
        <w:rPr>
          <w:rFonts w:asciiTheme="minorHAnsi" w:hAnsiTheme="minorHAnsi"/>
          <w:i w:val="0"/>
          <w:sz w:val="22"/>
          <w:szCs w:val="22"/>
          <w:lang w:val="hr-HR"/>
        </w:rPr>
        <w:t xml:space="preserve">korisni učinak takvog akta bio bi oslabljen kad se pojedinci </w:t>
      </w:r>
      <w:r>
        <w:rPr>
          <w:rFonts w:asciiTheme="minorHAnsi" w:hAnsiTheme="minorHAnsi"/>
          <w:i w:val="0"/>
          <w:sz w:val="22"/>
          <w:szCs w:val="22"/>
          <w:lang w:val="hr-HR"/>
        </w:rPr>
        <w:t xml:space="preserve">na njega </w:t>
      </w:r>
      <w:r w:rsidRPr="0085307D">
        <w:rPr>
          <w:rFonts w:asciiTheme="minorHAnsi" w:hAnsiTheme="minorHAnsi"/>
          <w:i w:val="0"/>
          <w:sz w:val="22"/>
          <w:szCs w:val="22"/>
          <w:lang w:val="hr-HR"/>
        </w:rPr>
        <w:t>ne bi</w:t>
      </w:r>
      <w:r>
        <w:rPr>
          <w:rFonts w:asciiTheme="minorHAnsi" w:hAnsiTheme="minorHAnsi"/>
          <w:i w:val="0"/>
          <w:sz w:val="22"/>
          <w:szCs w:val="22"/>
          <w:lang w:val="hr-HR"/>
        </w:rPr>
        <w:t xml:space="preserve"> </w:t>
      </w:r>
      <w:r w:rsidRPr="0085307D">
        <w:rPr>
          <w:rFonts w:asciiTheme="minorHAnsi" w:hAnsiTheme="minorHAnsi"/>
          <w:i w:val="0"/>
          <w:sz w:val="22"/>
          <w:szCs w:val="22"/>
          <w:lang w:val="hr-HR"/>
        </w:rPr>
        <w:t>mogli pozvati pred nacionalnim sudovima i kad bi sudovi bili spriječeni uzeti ga u obzir kao jedan od elemenata prava Zajednice.</w:t>
      </w:r>
      <w:r>
        <w:rPr>
          <w:rFonts w:asciiTheme="minorHAnsi" w:hAnsiTheme="minorHAnsi"/>
          <w:sz w:val="22"/>
          <w:szCs w:val="22"/>
          <w:lang w:val="en-GB"/>
        </w:rPr>
        <w:t>”)</w:t>
      </w:r>
    </w:p>
    <w:p w14:paraId="135D7AE9" w14:textId="77777777" w:rsidR="00D002ED" w:rsidRDefault="00D002ED" w:rsidP="00D002ED">
      <w:pPr>
        <w:jc w:val="both"/>
        <w:rPr>
          <w:rFonts w:eastAsia="Calibri" w:cs="Times New Roman"/>
          <w:lang w:val="en-GB"/>
        </w:rPr>
      </w:pPr>
    </w:p>
    <w:p w14:paraId="0440FFB6" w14:textId="77777777" w:rsidR="00D002ED" w:rsidRPr="00440397" w:rsidRDefault="00D002ED" w:rsidP="00D002ED">
      <w:pPr>
        <w:jc w:val="both"/>
        <w:rPr>
          <w:rFonts w:eastAsia="Calibri" w:cs="Times New Roman"/>
        </w:rPr>
      </w:pPr>
      <w:r w:rsidRPr="00440397">
        <w:rPr>
          <w:rFonts w:eastAsia="Calibri" w:cs="Times New Roman"/>
        </w:rPr>
        <w:t xml:space="preserve">Neki sudovi nekih država članica odbili su prihvatiti izravni učinak direktiva (najvažniji među njima bio je francuski </w:t>
      </w:r>
      <w:proofErr w:type="spellStart"/>
      <w:r w:rsidRPr="00440397">
        <w:rPr>
          <w:rFonts w:eastAsia="Calibri" w:cs="Times New Roman"/>
        </w:rPr>
        <w:t>Conseil</w:t>
      </w:r>
      <w:proofErr w:type="spellEnd"/>
      <w:r w:rsidRPr="00440397">
        <w:rPr>
          <w:rFonts w:eastAsia="Calibri" w:cs="Times New Roman"/>
        </w:rPr>
        <w:t xml:space="preserve"> </w:t>
      </w:r>
      <w:proofErr w:type="spellStart"/>
      <w:r w:rsidRPr="00440397">
        <w:rPr>
          <w:rFonts w:eastAsia="Calibri" w:cs="Times New Roman"/>
        </w:rPr>
        <w:t>d’Etat</w:t>
      </w:r>
      <w:proofErr w:type="spellEnd"/>
      <w:r w:rsidRPr="00440397">
        <w:rPr>
          <w:rFonts w:eastAsia="Calibri" w:cs="Times New Roman"/>
        </w:rPr>
        <w:t xml:space="preserve"> u predmetu </w:t>
      </w:r>
      <w:proofErr w:type="spellStart"/>
      <w:r w:rsidRPr="003E4F0D">
        <w:rPr>
          <w:rFonts w:eastAsia="Calibri" w:cs="Times New Roman"/>
          <w:i/>
        </w:rPr>
        <w:t>Cohn-Bendit</w:t>
      </w:r>
      <w:proofErr w:type="spellEnd"/>
      <w:r w:rsidRPr="00440397">
        <w:rPr>
          <w:rFonts w:eastAsia="Calibri" w:cs="Times New Roman"/>
        </w:rPr>
        <w:t xml:space="preserve"> iz 1978.</w:t>
      </w:r>
      <w:r w:rsidR="00440397">
        <w:rPr>
          <w:rFonts w:eastAsia="Calibri" w:cs="Times New Roman"/>
        </w:rPr>
        <w:t xml:space="preserve">) Bez prihvaćanja i primjene pred nacionalnim sudovima, izravni učinak nije mogao zaživjeti. Stoga je Europski sud morao pronaći dodatne argumente ne bi li uvjerio nacionalne sudove u ispravnost svoje pozicije. Tako je u predmetu 148/78 </w:t>
      </w:r>
      <w:proofErr w:type="spellStart"/>
      <w:r w:rsidR="00440397" w:rsidRPr="00440397">
        <w:rPr>
          <w:rFonts w:eastAsia="Calibri" w:cs="Times New Roman"/>
          <w:i/>
        </w:rPr>
        <w:t>Ratti</w:t>
      </w:r>
      <w:proofErr w:type="spellEnd"/>
      <w:r w:rsidR="00440397">
        <w:rPr>
          <w:rFonts w:eastAsia="Calibri" w:cs="Times New Roman"/>
        </w:rPr>
        <w:t xml:space="preserve"> dodao novi argument, poznat u engleskom jeziku pod nazivom </w:t>
      </w:r>
      <w:proofErr w:type="spellStart"/>
      <w:r w:rsidR="00440397" w:rsidRPr="00364E7F">
        <w:rPr>
          <w:rFonts w:eastAsia="Calibri" w:cs="Times New Roman"/>
          <w:i/>
        </w:rPr>
        <w:t>estoppel</w:t>
      </w:r>
      <w:proofErr w:type="spellEnd"/>
      <w:r w:rsidR="00440397">
        <w:rPr>
          <w:rFonts w:eastAsia="Calibri" w:cs="Times New Roman"/>
        </w:rPr>
        <w:t xml:space="preserve">. </w:t>
      </w:r>
      <w:r w:rsidRPr="00440397">
        <w:rPr>
          <w:rFonts w:eastAsia="Calibri" w:cs="Times New Roman"/>
        </w:rPr>
        <w:t xml:space="preserve"> </w:t>
      </w:r>
    </w:p>
    <w:p w14:paraId="4C9E8C09" w14:textId="77777777" w:rsidR="00FE3340" w:rsidRPr="00364E7F" w:rsidRDefault="00FE3340" w:rsidP="00FE3340">
      <w:pPr>
        <w:numPr>
          <w:ilvl w:val="1"/>
          <w:numId w:val="1"/>
        </w:numPr>
        <w:spacing w:after="0" w:line="240" w:lineRule="auto"/>
        <w:jc w:val="both"/>
        <w:rPr>
          <w:rFonts w:eastAsia="Calibri" w:cs="Times New Roman"/>
          <w:lang w:val="fr-FR"/>
        </w:rPr>
      </w:pPr>
      <w:proofErr w:type="spellStart"/>
      <w:r w:rsidRPr="00364E7F">
        <w:rPr>
          <w:rFonts w:eastAsia="Calibri" w:cs="Times New Roman"/>
          <w:lang w:val="fr-FR"/>
        </w:rPr>
        <w:t>Para</w:t>
      </w:r>
      <w:r w:rsidR="00440397" w:rsidRPr="00364E7F">
        <w:rPr>
          <w:rFonts w:eastAsia="Calibri" w:cs="Times New Roman"/>
          <w:lang w:val="fr-FR"/>
        </w:rPr>
        <w:t>graf</w:t>
      </w:r>
      <w:proofErr w:type="spellEnd"/>
      <w:r w:rsidRPr="00364E7F">
        <w:rPr>
          <w:rFonts w:eastAsia="Calibri" w:cs="Times New Roman"/>
          <w:lang w:val="fr-FR"/>
        </w:rPr>
        <w:t xml:space="preserve"> 22 </w:t>
      </w:r>
      <w:r w:rsidR="00440397" w:rsidRPr="00364E7F">
        <w:rPr>
          <w:rFonts w:eastAsia="Calibri" w:cs="Times New Roman"/>
        </w:rPr>
        <w:t xml:space="preserve">presude u predmetu </w:t>
      </w:r>
      <w:proofErr w:type="spellStart"/>
      <w:r w:rsidRPr="00364E7F">
        <w:rPr>
          <w:rFonts w:eastAsia="Calibri" w:cs="Times New Roman"/>
          <w:i/>
          <w:lang w:val="fr-FR"/>
        </w:rPr>
        <w:t>Ratti</w:t>
      </w:r>
      <w:proofErr w:type="spellEnd"/>
      <w:r w:rsidRPr="00364E7F">
        <w:rPr>
          <w:rFonts w:eastAsia="Calibri" w:cs="Times New Roman"/>
          <w:lang w:val="fr-FR"/>
        </w:rPr>
        <w:t>:</w:t>
      </w:r>
    </w:p>
    <w:p w14:paraId="796F0178" w14:textId="77777777" w:rsidR="00FE3340" w:rsidRDefault="00FE3340" w:rsidP="00FE3340">
      <w:pPr>
        <w:pStyle w:val="BodyTextIndent"/>
        <w:rPr>
          <w:rFonts w:asciiTheme="minorHAnsi" w:hAnsiTheme="minorHAnsi"/>
          <w:sz w:val="22"/>
          <w:szCs w:val="22"/>
          <w:lang w:val="en-GB"/>
        </w:rPr>
      </w:pPr>
      <w:r w:rsidRPr="00267B52">
        <w:rPr>
          <w:rFonts w:asciiTheme="minorHAnsi" w:hAnsiTheme="minorHAnsi"/>
          <w:sz w:val="22"/>
          <w:szCs w:val="22"/>
          <w:lang w:val="en-GB"/>
        </w:rPr>
        <w:t>“Consequently a Member State which has not adopted the implementing measures required by the directive in the prescribed period may not rely, as against individuals, on its own failure to perform the obligations which the directive entails.”</w:t>
      </w:r>
    </w:p>
    <w:p w14:paraId="32984E62" w14:textId="77777777" w:rsidR="00364E7F" w:rsidRDefault="00364E7F" w:rsidP="00FE3340">
      <w:pPr>
        <w:pStyle w:val="BodyTextIndent"/>
        <w:rPr>
          <w:rFonts w:asciiTheme="minorHAnsi" w:hAnsiTheme="minorHAnsi"/>
          <w:sz w:val="22"/>
          <w:szCs w:val="22"/>
          <w:lang w:val="en-GB"/>
        </w:rPr>
      </w:pPr>
    </w:p>
    <w:p w14:paraId="1803CDC3" w14:textId="77777777" w:rsidR="00364E7F" w:rsidRPr="00267B52" w:rsidRDefault="00364E7F" w:rsidP="00FE3340">
      <w:pPr>
        <w:pStyle w:val="BodyTextIndent"/>
        <w:rPr>
          <w:rFonts w:asciiTheme="minorHAnsi" w:hAnsiTheme="minorHAnsi"/>
          <w:sz w:val="22"/>
          <w:szCs w:val="22"/>
          <w:lang w:val="en-GB"/>
        </w:rPr>
      </w:pPr>
      <w:r>
        <w:rPr>
          <w:rFonts w:asciiTheme="minorHAnsi" w:hAnsiTheme="minorHAnsi"/>
          <w:sz w:val="22"/>
          <w:szCs w:val="22"/>
          <w:lang w:val="en-GB"/>
        </w:rPr>
        <w:t xml:space="preserve">(HR: </w:t>
      </w:r>
      <w:r w:rsidRPr="00364E7F">
        <w:rPr>
          <w:rFonts w:asciiTheme="minorHAnsi" w:hAnsiTheme="minorHAnsi"/>
          <w:i w:val="0"/>
          <w:sz w:val="22"/>
          <w:szCs w:val="22"/>
          <w:lang w:val="hr-HR"/>
        </w:rPr>
        <w:t>Stoga se država članica koja nije u propisanom roku usvojila provedbene mjere koje zahtjeva direktiva ne može pozivati, protiv pojedinaca, na vlastiti propust da izvrši obvezu koju direktiva sadrži.</w:t>
      </w:r>
      <w:r>
        <w:rPr>
          <w:rFonts w:asciiTheme="minorHAnsi" w:hAnsiTheme="minorHAnsi"/>
          <w:sz w:val="22"/>
          <w:szCs w:val="22"/>
          <w:lang w:val="en-GB"/>
        </w:rPr>
        <w:t xml:space="preserve">”)  </w:t>
      </w:r>
    </w:p>
    <w:p w14:paraId="64F9623E" w14:textId="77777777" w:rsidR="00FE3340" w:rsidRPr="007C5D7D" w:rsidRDefault="00FE3340" w:rsidP="00FE3340">
      <w:pPr>
        <w:pStyle w:val="BodyTextIndent"/>
        <w:rPr>
          <w:lang w:val="en-GB"/>
        </w:rPr>
      </w:pPr>
    </w:p>
    <w:p w14:paraId="4E3ACB66" w14:textId="77777777" w:rsidR="00364E7F" w:rsidRDefault="009E1F57" w:rsidP="00FE3340">
      <w:pPr>
        <w:jc w:val="both"/>
        <w:rPr>
          <w:rFonts w:ascii="Calibri" w:eastAsia="Calibri" w:hAnsi="Calibri" w:cs="Times New Roman"/>
        </w:rPr>
      </w:pPr>
      <w:r w:rsidRPr="009E1F57">
        <w:rPr>
          <w:rFonts w:ascii="Calibri" w:eastAsia="Calibri" w:hAnsi="Calibri" w:cs="Times New Roman"/>
        </w:rPr>
        <w:t>Upotreba ovakvog argumenta</w:t>
      </w:r>
      <w:r>
        <w:rPr>
          <w:rFonts w:ascii="Calibri" w:eastAsia="Calibri" w:hAnsi="Calibri" w:cs="Times New Roman"/>
        </w:rPr>
        <w:t xml:space="preserve"> za opravdanje izravnog učinka direktiva rezultirala je razlikovanjem između vertikalnih i horizontalnih situacija. Sudska je praksa uspostavila pravilo po kojem direktive mogu imati izravni učinak u vertikalnim, ali ne i u horizontalnim odnosima </w:t>
      </w:r>
      <w:r w:rsidRPr="009E1F57">
        <w:rPr>
          <w:rFonts w:ascii="Calibri" w:eastAsia="Calibri" w:hAnsi="Calibri" w:cs="Times New Roman"/>
        </w:rPr>
        <w:t xml:space="preserve">(152/84 </w:t>
      </w:r>
      <w:r w:rsidRPr="003E4F0D">
        <w:rPr>
          <w:rFonts w:ascii="Calibri" w:eastAsia="Calibri" w:hAnsi="Calibri" w:cs="Times New Roman"/>
          <w:i/>
          <w:lang w:val="en-GB"/>
        </w:rPr>
        <w:t>Marshall</w:t>
      </w:r>
      <w:r w:rsidRPr="009E1F57">
        <w:rPr>
          <w:rFonts w:ascii="Calibri" w:eastAsia="Calibri" w:hAnsi="Calibri" w:cs="Times New Roman"/>
        </w:rPr>
        <w:t xml:space="preserve">; </w:t>
      </w:r>
      <w:r w:rsidRPr="007C5D7D">
        <w:rPr>
          <w:rFonts w:ascii="Calibri" w:eastAsia="Calibri" w:hAnsi="Calibri" w:cs="Times New Roman"/>
          <w:lang w:val="en-GB"/>
        </w:rPr>
        <w:t>C</w:t>
      </w:r>
      <w:r w:rsidRPr="009E1F57">
        <w:rPr>
          <w:rFonts w:ascii="Calibri" w:eastAsia="Calibri" w:hAnsi="Calibri" w:cs="Times New Roman"/>
        </w:rPr>
        <w:t xml:space="preserve">-91/92 </w:t>
      </w:r>
      <w:proofErr w:type="spellStart"/>
      <w:r w:rsidRPr="003E4F0D">
        <w:rPr>
          <w:rFonts w:ascii="Calibri" w:eastAsia="Calibri" w:hAnsi="Calibri" w:cs="Times New Roman"/>
          <w:i/>
          <w:lang w:val="en-GB"/>
        </w:rPr>
        <w:t>Faccini</w:t>
      </w:r>
      <w:proofErr w:type="spellEnd"/>
      <w:r w:rsidRPr="003E4F0D">
        <w:rPr>
          <w:rFonts w:ascii="Calibri" w:eastAsia="Calibri" w:hAnsi="Calibri" w:cs="Times New Roman"/>
          <w:i/>
        </w:rPr>
        <w:t xml:space="preserve"> </w:t>
      </w:r>
      <w:proofErr w:type="spellStart"/>
      <w:r w:rsidRPr="003E4F0D">
        <w:rPr>
          <w:rFonts w:ascii="Calibri" w:eastAsia="Calibri" w:hAnsi="Calibri" w:cs="Times New Roman"/>
          <w:i/>
          <w:lang w:val="en-GB"/>
        </w:rPr>
        <w:t>Dori</w:t>
      </w:r>
      <w:proofErr w:type="spellEnd"/>
      <w:r w:rsidRPr="009E1F57">
        <w:rPr>
          <w:rFonts w:ascii="Calibri" w:eastAsia="Calibri" w:hAnsi="Calibri" w:cs="Times New Roman"/>
        </w:rPr>
        <w:t>)</w:t>
      </w:r>
      <w:r>
        <w:rPr>
          <w:rFonts w:ascii="Calibri" w:eastAsia="Calibri" w:hAnsi="Calibri" w:cs="Times New Roman"/>
        </w:rPr>
        <w:t xml:space="preserve">. Osnovni razlog za to postala je tvrdnja da direktive stvaraju obveze za države, ali ne i izravno za pojedince. Stoga se pojedinac kojem je direktiva namjeravala dodijeliti pravo ne može na </w:t>
      </w:r>
      <w:r>
        <w:rPr>
          <w:rFonts w:ascii="Calibri" w:eastAsia="Calibri" w:hAnsi="Calibri" w:cs="Times New Roman"/>
        </w:rPr>
        <w:lastRenderedPageBreak/>
        <w:t xml:space="preserve">nju oslanjati protiv drugog pojedinca, jer ovaj nema obvezu, propuštanje </w:t>
      </w:r>
      <w:r w:rsidR="00961ACE">
        <w:rPr>
          <w:rFonts w:ascii="Calibri" w:eastAsia="Calibri" w:hAnsi="Calibri" w:cs="Times New Roman"/>
        </w:rPr>
        <w:t xml:space="preserve">koje je postalo opravdanje za izravni učinak u odnosu na državu. </w:t>
      </w:r>
    </w:p>
    <w:p w14:paraId="4099F0F4" w14:textId="77777777" w:rsidR="00961ACE" w:rsidRDefault="00961ACE" w:rsidP="00FE3340">
      <w:pPr>
        <w:jc w:val="both"/>
        <w:rPr>
          <w:rFonts w:ascii="Calibri" w:eastAsia="Calibri" w:hAnsi="Calibri" w:cs="Times New Roman"/>
        </w:rPr>
      </w:pPr>
      <w:r>
        <w:rPr>
          <w:rFonts w:ascii="Calibri" w:eastAsia="Calibri" w:hAnsi="Calibri" w:cs="Times New Roman"/>
        </w:rPr>
        <w:t>Posljedica nepriznavanja horizontalnog izravnog učinka direktiva bila je manja djelotvornost tog instrumenta, ali i nastanak diskriminacije unutar i između država članica.</w:t>
      </w:r>
    </w:p>
    <w:p w14:paraId="6CBDA5DE" w14:textId="77777777" w:rsidR="00961ACE" w:rsidRDefault="00961ACE" w:rsidP="00FE3340">
      <w:pPr>
        <w:jc w:val="both"/>
        <w:rPr>
          <w:rFonts w:ascii="Calibri" w:eastAsia="Calibri" w:hAnsi="Calibri" w:cs="Times New Roman"/>
        </w:rPr>
      </w:pPr>
      <w:r>
        <w:rPr>
          <w:rFonts w:ascii="Calibri" w:eastAsia="Calibri" w:hAnsi="Calibri" w:cs="Times New Roman"/>
        </w:rPr>
        <w:t>Kako bi ublažio neke od takvih negativnih posljedica, Europski je sud razvio neke nove koncepte, od kojih su neki izravni učinak učinili još manje razumljivim i branjivim.</w:t>
      </w:r>
    </w:p>
    <w:p w14:paraId="42911EB3" w14:textId="77777777" w:rsidR="00961ACE" w:rsidRDefault="00961ACE" w:rsidP="00FE3340">
      <w:pPr>
        <w:jc w:val="both"/>
        <w:rPr>
          <w:rFonts w:ascii="Calibri" w:eastAsia="Calibri" w:hAnsi="Calibri" w:cs="Times New Roman"/>
        </w:rPr>
      </w:pPr>
      <w:r>
        <w:rPr>
          <w:rFonts w:ascii="Calibri" w:eastAsia="Calibri" w:hAnsi="Calibri" w:cs="Times New Roman"/>
        </w:rPr>
        <w:t xml:space="preserve">Tako je Sud vrlo široko interpretirao pojam države za potrebe uspostave vertikalnog odnosa pri primjeni direktiva. U predmetu C-188/89 </w:t>
      </w:r>
      <w:r w:rsidRPr="00961ACE">
        <w:rPr>
          <w:rFonts w:ascii="Calibri" w:eastAsia="Calibri" w:hAnsi="Calibri" w:cs="Times New Roman"/>
          <w:i/>
        </w:rPr>
        <w:t>Foster</w:t>
      </w:r>
      <w:r>
        <w:rPr>
          <w:rFonts w:ascii="Calibri" w:eastAsia="Calibri" w:hAnsi="Calibri" w:cs="Times New Roman"/>
        </w:rPr>
        <w:t>, dao je sljedeću opću definiciju 'države':</w:t>
      </w:r>
    </w:p>
    <w:p w14:paraId="545385FA" w14:textId="77777777" w:rsidR="00961ACE" w:rsidRPr="00961ACE" w:rsidRDefault="00961ACE" w:rsidP="00961ACE">
      <w:pPr>
        <w:pStyle w:val="ListParagraph"/>
        <w:numPr>
          <w:ilvl w:val="0"/>
          <w:numId w:val="2"/>
        </w:numPr>
        <w:jc w:val="both"/>
        <w:rPr>
          <w:rFonts w:ascii="Calibri" w:eastAsia="Calibri" w:hAnsi="Calibri" w:cs="Times New Roman"/>
        </w:rPr>
      </w:pPr>
      <w:r>
        <w:rPr>
          <w:rFonts w:ascii="Calibri" w:eastAsia="Calibri" w:hAnsi="Calibri" w:cs="Times New Roman"/>
        </w:rPr>
        <w:t xml:space="preserve">paragraf 18 presude u predmetu </w:t>
      </w:r>
      <w:r w:rsidRPr="00961ACE">
        <w:rPr>
          <w:rFonts w:ascii="Calibri" w:eastAsia="Calibri" w:hAnsi="Calibri" w:cs="Times New Roman"/>
          <w:i/>
        </w:rPr>
        <w:t>Foster</w:t>
      </w:r>
      <w:r>
        <w:rPr>
          <w:rFonts w:ascii="Calibri" w:eastAsia="Calibri" w:hAnsi="Calibri" w:cs="Times New Roman"/>
        </w:rPr>
        <w:t>:</w:t>
      </w:r>
    </w:p>
    <w:p w14:paraId="2347B691" w14:textId="77777777" w:rsidR="00FE3340" w:rsidRDefault="00961ACE" w:rsidP="00961ACE">
      <w:pPr>
        <w:ind w:left="708"/>
        <w:jc w:val="both"/>
        <w:rPr>
          <w:rFonts w:ascii="Calibri" w:eastAsia="Calibri" w:hAnsi="Calibri" w:cs="Times New Roman"/>
          <w:lang w:val="en-GB"/>
        </w:rPr>
      </w:pPr>
      <w:r>
        <w:rPr>
          <w:rFonts w:ascii="Calibri" w:eastAsia="Calibri" w:hAnsi="Calibri" w:cs="Times New Roman"/>
          <w:i/>
          <w:iCs/>
          <w:lang w:val="en-GB"/>
        </w:rPr>
        <w:t>”o</w:t>
      </w:r>
      <w:r w:rsidR="00FE3340" w:rsidRPr="007C5D7D">
        <w:rPr>
          <w:rFonts w:ascii="Calibri" w:eastAsia="Calibri" w:hAnsi="Calibri" w:cs="Times New Roman"/>
          <w:i/>
          <w:iCs/>
          <w:lang w:val="en-GB"/>
        </w:rPr>
        <w:t>rganizations or bodies which are subject to the authority or control of the State or have special powers beyond those which result from the normal rules applicable between individuals</w:t>
      </w:r>
      <w:r w:rsidR="00FE3340" w:rsidRPr="007C5D7D">
        <w:rPr>
          <w:rFonts w:ascii="Calibri" w:eastAsia="Calibri" w:hAnsi="Calibri" w:cs="Times New Roman"/>
          <w:lang w:val="en-GB"/>
        </w:rPr>
        <w:t>.</w:t>
      </w:r>
      <w:r>
        <w:rPr>
          <w:rFonts w:ascii="Calibri" w:eastAsia="Calibri" w:hAnsi="Calibri" w:cs="Times New Roman"/>
          <w:lang w:val="en-GB"/>
        </w:rPr>
        <w:t>”</w:t>
      </w:r>
    </w:p>
    <w:p w14:paraId="11339DFD" w14:textId="77777777" w:rsidR="00961ACE" w:rsidRDefault="00961ACE" w:rsidP="00961ACE">
      <w:pPr>
        <w:ind w:left="708"/>
        <w:jc w:val="both"/>
        <w:rPr>
          <w:rFonts w:ascii="Calibri" w:eastAsia="Calibri" w:hAnsi="Calibri" w:cs="Times New Roman"/>
        </w:rPr>
      </w:pPr>
      <w:r>
        <w:rPr>
          <w:rFonts w:ascii="Calibri" w:eastAsia="Calibri" w:hAnsi="Calibri" w:cs="Times New Roman"/>
          <w:i/>
          <w:iCs/>
          <w:lang w:val="en-GB"/>
        </w:rPr>
        <w:t>(HR</w:t>
      </w:r>
      <w:r w:rsidRPr="00961ACE">
        <w:rPr>
          <w:rFonts w:ascii="Calibri" w:eastAsia="Calibri" w:hAnsi="Calibri" w:cs="Times New Roman"/>
          <w:lang w:val="en-GB"/>
        </w:rPr>
        <w:t>:</w:t>
      </w:r>
      <w:r>
        <w:rPr>
          <w:rFonts w:ascii="Calibri" w:eastAsia="Calibri" w:hAnsi="Calibri" w:cs="Times New Roman"/>
          <w:lang w:val="en-GB"/>
        </w:rPr>
        <w:t xml:space="preserve"> </w:t>
      </w:r>
      <w:r w:rsidRPr="00961ACE">
        <w:rPr>
          <w:rFonts w:ascii="Calibri" w:eastAsia="Calibri" w:hAnsi="Calibri" w:cs="Times New Roman"/>
        </w:rPr>
        <w:t>“organizacije ili tijela koja su pod autoritetom ili kontrolom države ili imaju specijalne ovlasti izvan onih koje rezultiraju iz uobičajenih pravila primjenjivih među pojedincima”</w:t>
      </w:r>
    </w:p>
    <w:p w14:paraId="0440A710" w14:textId="77777777" w:rsidR="001F2695" w:rsidRDefault="001F2695" w:rsidP="001F2695">
      <w:pPr>
        <w:jc w:val="both"/>
        <w:rPr>
          <w:rFonts w:ascii="Calibri" w:eastAsia="Calibri" w:hAnsi="Calibri" w:cs="Times New Roman"/>
        </w:rPr>
      </w:pPr>
      <w:r w:rsidRPr="001F2695">
        <w:rPr>
          <w:rFonts w:ascii="Calibri" w:eastAsia="Calibri" w:hAnsi="Calibri" w:cs="Times New Roman"/>
          <w:iCs/>
        </w:rPr>
        <w:t>To je proširilo broj situacija u kojima su se pojedinci mogli pred sudom pozvati na direktivu</w:t>
      </w:r>
      <w:r w:rsidRPr="001F2695">
        <w:rPr>
          <w:rFonts w:ascii="Calibri" w:eastAsia="Calibri" w:hAnsi="Calibri" w:cs="Times New Roman"/>
        </w:rPr>
        <w:t xml:space="preserve">. </w:t>
      </w:r>
      <w:r>
        <w:rPr>
          <w:rFonts w:ascii="Calibri" w:eastAsia="Calibri" w:hAnsi="Calibri" w:cs="Times New Roman"/>
        </w:rPr>
        <w:t>Sud je također razvio i doktrinu posrednih ili interpretativnih učinaka</w:t>
      </w:r>
      <w:r w:rsidR="0004129E">
        <w:rPr>
          <w:rFonts w:ascii="Calibri" w:eastAsia="Calibri" w:hAnsi="Calibri" w:cs="Times New Roman"/>
        </w:rPr>
        <w:t xml:space="preserve"> (</w:t>
      </w:r>
      <w:r w:rsidR="0058673B">
        <w:rPr>
          <w:rFonts w:ascii="Calibri" w:eastAsia="Calibri" w:hAnsi="Calibri" w:cs="Times New Roman"/>
        </w:rPr>
        <w:t xml:space="preserve">14/83 </w:t>
      </w:r>
      <w:r w:rsidR="0004129E" w:rsidRPr="0004129E">
        <w:rPr>
          <w:rFonts w:ascii="Calibri" w:eastAsia="Calibri" w:hAnsi="Calibri" w:cs="Times New Roman"/>
          <w:i/>
          <w:lang w:val="en-GB"/>
        </w:rPr>
        <w:t>Von</w:t>
      </w:r>
      <w:r w:rsidR="0004129E" w:rsidRPr="0004129E">
        <w:rPr>
          <w:rFonts w:ascii="Calibri" w:eastAsia="Calibri" w:hAnsi="Calibri" w:cs="Times New Roman"/>
          <w:i/>
        </w:rPr>
        <w:t xml:space="preserve"> </w:t>
      </w:r>
      <w:r w:rsidR="0004129E" w:rsidRPr="0004129E">
        <w:rPr>
          <w:rFonts w:ascii="Calibri" w:eastAsia="Calibri" w:hAnsi="Calibri" w:cs="Times New Roman"/>
          <w:i/>
          <w:lang w:val="en-GB"/>
        </w:rPr>
        <w:t>Colson</w:t>
      </w:r>
      <w:r w:rsidR="0004129E" w:rsidRPr="0004129E">
        <w:rPr>
          <w:rFonts w:ascii="Calibri" w:eastAsia="Calibri" w:hAnsi="Calibri" w:cs="Times New Roman"/>
          <w:i/>
        </w:rPr>
        <w:t xml:space="preserve"> </w:t>
      </w:r>
      <w:r w:rsidR="0004129E" w:rsidRPr="0004129E">
        <w:rPr>
          <w:rFonts w:ascii="Calibri" w:eastAsia="Calibri" w:hAnsi="Calibri" w:cs="Times New Roman"/>
          <w:i/>
          <w:lang w:val="en-GB"/>
        </w:rPr>
        <w:t>and</w:t>
      </w:r>
      <w:r w:rsidR="0004129E" w:rsidRPr="0004129E">
        <w:rPr>
          <w:rFonts w:ascii="Calibri" w:eastAsia="Calibri" w:hAnsi="Calibri" w:cs="Times New Roman"/>
          <w:i/>
        </w:rPr>
        <w:t xml:space="preserve"> </w:t>
      </w:r>
      <w:proofErr w:type="spellStart"/>
      <w:r w:rsidR="0004129E" w:rsidRPr="0004129E">
        <w:rPr>
          <w:rFonts w:ascii="Calibri" w:eastAsia="Calibri" w:hAnsi="Calibri" w:cs="Times New Roman"/>
          <w:i/>
          <w:lang w:val="en-GB"/>
        </w:rPr>
        <w:t>Kamman</w:t>
      </w:r>
      <w:proofErr w:type="spellEnd"/>
      <w:r w:rsidR="0004129E" w:rsidRPr="0058673B">
        <w:rPr>
          <w:rFonts w:ascii="Calibri" w:eastAsia="Calibri" w:hAnsi="Calibri" w:cs="Times New Roman"/>
          <w:i/>
        </w:rPr>
        <w:t>),</w:t>
      </w:r>
      <w:r>
        <w:rPr>
          <w:rFonts w:ascii="Calibri" w:eastAsia="Calibri" w:hAnsi="Calibri" w:cs="Times New Roman"/>
        </w:rPr>
        <w:t xml:space="preserve"> koja je danas samostojeći koncept prava EU, a ne samo lijek za nedostatke izravnog učinka direktiva.</w:t>
      </w:r>
    </w:p>
    <w:p w14:paraId="3F55D479" w14:textId="77777777" w:rsidR="001F2695" w:rsidRDefault="001F2695" w:rsidP="001F2695">
      <w:pPr>
        <w:jc w:val="both"/>
        <w:rPr>
          <w:rFonts w:ascii="Calibri" w:eastAsia="Calibri" w:hAnsi="Calibri" w:cs="Times New Roman"/>
        </w:rPr>
      </w:pPr>
      <w:r>
        <w:rPr>
          <w:rFonts w:ascii="Calibri" w:eastAsia="Calibri" w:hAnsi="Calibri" w:cs="Times New Roman"/>
        </w:rPr>
        <w:t xml:space="preserve">Sud je uspostavio i koncept odgovornosti države za štetu nastalu, između ostalog, neprovedbom ili pogrešnom provedbom direktive </w:t>
      </w:r>
      <w:r w:rsidRPr="001F2695">
        <w:rPr>
          <w:rFonts w:ascii="Calibri" w:eastAsia="Calibri" w:hAnsi="Calibri" w:cs="Times New Roman"/>
        </w:rPr>
        <w:t>(</w:t>
      </w:r>
      <w:r>
        <w:rPr>
          <w:rFonts w:ascii="Calibri" w:eastAsia="Calibri" w:hAnsi="Calibri" w:cs="Times New Roman"/>
          <w:lang w:val="en-GB"/>
        </w:rPr>
        <w:t>C</w:t>
      </w:r>
      <w:r w:rsidRPr="001F2695">
        <w:rPr>
          <w:rFonts w:ascii="Calibri" w:eastAsia="Calibri" w:hAnsi="Calibri" w:cs="Times New Roman"/>
        </w:rPr>
        <w:t xml:space="preserve">-6 </w:t>
      </w:r>
      <w:r>
        <w:rPr>
          <w:rFonts w:ascii="Calibri" w:eastAsia="Calibri" w:hAnsi="Calibri" w:cs="Times New Roman"/>
          <w:lang w:val="en-GB"/>
        </w:rPr>
        <w:t>and</w:t>
      </w:r>
      <w:r w:rsidRPr="001F2695">
        <w:rPr>
          <w:rFonts w:ascii="Calibri" w:eastAsia="Calibri" w:hAnsi="Calibri" w:cs="Times New Roman"/>
        </w:rPr>
        <w:t xml:space="preserve"> 9/90 </w:t>
      </w:r>
      <w:proofErr w:type="spellStart"/>
      <w:r w:rsidRPr="005A4FB6">
        <w:rPr>
          <w:rFonts w:ascii="Calibri" w:eastAsia="Calibri" w:hAnsi="Calibri" w:cs="Times New Roman"/>
          <w:i/>
          <w:lang w:val="en-GB"/>
        </w:rPr>
        <w:t>Francovich</w:t>
      </w:r>
      <w:proofErr w:type="spellEnd"/>
      <w:r w:rsidRPr="001F2695">
        <w:rPr>
          <w:rFonts w:ascii="Calibri" w:eastAsia="Calibri" w:hAnsi="Calibri" w:cs="Times New Roman"/>
        </w:rPr>
        <w:t>)</w:t>
      </w:r>
      <w:r>
        <w:rPr>
          <w:rFonts w:ascii="Calibri" w:eastAsia="Calibri" w:hAnsi="Calibri" w:cs="Times New Roman"/>
        </w:rPr>
        <w:t>.</w:t>
      </w:r>
    </w:p>
    <w:p w14:paraId="5AC5009E" w14:textId="77777777" w:rsidR="001F2695" w:rsidRDefault="001F2695" w:rsidP="001F2695">
      <w:pPr>
        <w:jc w:val="both"/>
        <w:rPr>
          <w:rFonts w:ascii="Calibri" w:eastAsia="Calibri" w:hAnsi="Calibri" w:cs="Times New Roman"/>
        </w:rPr>
      </w:pPr>
      <w:r>
        <w:rPr>
          <w:rFonts w:ascii="Calibri" w:eastAsia="Calibri" w:hAnsi="Calibri" w:cs="Times New Roman"/>
        </w:rPr>
        <w:t>Također, Sud je u pojedinim situacijama dozvolio pojedincima da se pozovu na direktivu i u horizontalnoj situaciji</w:t>
      </w:r>
      <w:r w:rsidR="00101010">
        <w:rPr>
          <w:rFonts w:ascii="Calibri" w:eastAsia="Calibri" w:hAnsi="Calibri" w:cs="Times New Roman"/>
        </w:rPr>
        <w:t xml:space="preserve"> </w:t>
      </w:r>
      <w:r w:rsidR="00101010" w:rsidRPr="00101010">
        <w:rPr>
          <w:rFonts w:ascii="Calibri" w:eastAsia="Calibri" w:hAnsi="Calibri" w:cs="Times New Roman"/>
        </w:rPr>
        <w:t>(</w:t>
      </w:r>
      <w:r w:rsidR="00101010" w:rsidRPr="00101010">
        <w:rPr>
          <w:rFonts w:ascii="Calibri" w:eastAsia="Calibri" w:hAnsi="Calibri" w:cs="Times New Roman"/>
          <w:bCs/>
        </w:rPr>
        <w:t xml:space="preserve">C-194/94 </w:t>
      </w:r>
      <w:r w:rsidR="00101010" w:rsidRPr="00101010">
        <w:rPr>
          <w:rFonts w:ascii="Calibri" w:eastAsia="Calibri" w:hAnsi="Calibri" w:cs="Times New Roman"/>
          <w:bCs/>
          <w:i/>
        </w:rPr>
        <w:t xml:space="preserve">CIA </w:t>
      </w:r>
      <w:proofErr w:type="spellStart"/>
      <w:r w:rsidR="00101010" w:rsidRPr="00101010">
        <w:rPr>
          <w:rFonts w:ascii="Calibri" w:eastAsia="Calibri" w:hAnsi="Calibri" w:cs="Times New Roman"/>
          <w:bCs/>
          <w:i/>
        </w:rPr>
        <w:t>Security</w:t>
      </w:r>
      <w:proofErr w:type="spellEnd"/>
      <w:r w:rsidR="00101010" w:rsidRPr="00101010">
        <w:rPr>
          <w:rFonts w:ascii="Calibri" w:eastAsia="Calibri" w:hAnsi="Calibri" w:cs="Times New Roman"/>
          <w:bCs/>
        </w:rPr>
        <w:t xml:space="preserve">; C-443/98 </w:t>
      </w:r>
      <w:r w:rsidR="00101010" w:rsidRPr="00101010">
        <w:rPr>
          <w:rFonts w:ascii="Calibri" w:eastAsia="Calibri" w:hAnsi="Calibri" w:cs="Times New Roman"/>
          <w:bCs/>
          <w:i/>
        </w:rPr>
        <w:t>Unilever</w:t>
      </w:r>
      <w:r w:rsidR="00101010" w:rsidRPr="00101010">
        <w:rPr>
          <w:rFonts w:ascii="Calibri" w:eastAsia="Calibri" w:hAnsi="Calibri" w:cs="Times New Roman"/>
          <w:bCs/>
        </w:rPr>
        <w:t>)</w:t>
      </w:r>
      <w:r>
        <w:rPr>
          <w:rFonts w:ascii="Calibri" w:eastAsia="Calibri" w:hAnsi="Calibri" w:cs="Times New Roman"/>
        </w:rPr>
        <w:t xml:space="preserve">. Takvu je sudsku praksu </w:t>
      </w:r>
      <w:r w:rsidR="002A5720">
        <w:rPr>
          <w:rFonts w:ascii="Calibri" w:eastAsia="Calibri" w:hAnsi="Calibri" w:cs="Times New Roman"/>
        </w:rPr>
        <w:t xml:space="preserve">teorija nazvala </w:t>
      </w:r>
      <w:proofErr w:type="spellStart"/>
      <w:r w:rsidR="002A5720">
        <w:rPr>
          <w:rFonts w:ascii="Calibri" w:eastAsia="Calibri" w:hAnsi="Calibri" w:cs="Times New Roman"/>
        </w:rPr>
        <w:t>incidentalnim</w:t>
      </w:r>
      <w:proofErr w:type="spellEnd"/>
      <w:r w:rsidR="002A5720">
        <w:rPr>
          <w:rFonts w:ascii="Calibri" w:eastAsia="Calibri" w:hAnsi="Calibri" w:cs="Times New Roman"/>
        </w:rPr>
        <w:t xml:space="preserve"> učinkom direktiva i ona do danas još nije sasvim razjašnjena. Čini se, međutim, da Sud omogućuje pozivanje na direktivu i u horizontalnoj situaciji ukoliko ona za pojedinca ima određene koristi u postupku, ali ne u tome da za njega izravno stvara subjektivna prava. Tako, ako je subjektivno pravo koje se pred sudom ostvaruje utemeljeno na nekoj drugoj normi, pojedinac se na direktivu može pozvati ne bi li otklonio primjenu internog prava koje mu ne ide u korist. </w:t>
      </w:r>
      <w:r w:rsidR="00FE56BD">
        <w:rPr>
          <w:rFonts w:ascii="Calibri" w:eastAsia="Calibri" w:hAnsi="Calibri" w:cs="Times New Roman"/>
        </w:rPr>
        <w:t xml:space="preserve">Neki noviji predmeti koji su mogli biti riješeni na ovaj način, a nisu, već je Sud uputio na primjenu interpretativnog učinka, indikacija su da Sud možda odustaje od koncepta </w:t>
      </w:r>
      <w:proofErr w:type="spellStart"/>
      <w:r w:rsidR="00FE56BD">
        <w:rPr>
          <w:rFonts w:ascii="Calibri" w:eastAsia="Calibri" w:hAnsi="Calibri" w:cs="Times New Roman"/>
        </w:rPr>
        <w:t>incidentalnog</w:t>
      </w:r>
      <w:proofErr w:type="spellEnd"/>
      <w:r w:rsidR="00FE56BD">
        <w:rPr>
          <w:rFonts w:ascii="Calibri" w:eastAsia="Calibri" w:hAnsi="Calibri" w:cs="Times New Roman"/>
        </w:rPr>
        <w:t xml:space="preserve"> učinka. </w:t>
      </w:r>
    </w:p>
    <w:p w14:paraId="52B5A55C" w14:textId="77777777" w:rsidR="00C66CA4" w:rsidRDefault="00FE56BD" w:rsidP="001F2695">
      <w:pPr>
        <w:jc w:val="both"/>
        <w:rPr>
          <w:rFonts w:ascii="Calibri" w:eastAsia="Calibri" w:hAnsi="Calibri" w:cs="Calibri"/>
        </w:rPr>
      </w:pPr>
      <w:r>
        <w:rPr>
          <w:rFonts w:ascii="Calibri" w:eastAsia="Calibri" w:hAnsi="Calibri" w:cs="Times New Roman"/>
        </w:rPr>
        <w:t>U nedavnoj je sudskoj praksi, Sud stvorio još jednu iznimku temeljem koje je direktiva pojedincima bila relevantna i u horizontalnoj situaciji. Radilo se o situacijama u kojima direktiva provodi neko od temeljnih prava koja poznaje pravni poredak EU. U takvoj je situaciji Sud dao primjenu direktivi u horizontalnoj situaciji, čak i prije isteka roka za njenu implementaciju, koristeći je kao interpretativno sredstvo za konkretiziranje značenja temeljnog prava koje direktiva provodi (</w:t>
      </w:r>
      <w:r w:rsidR="00185E6C">
        <w:rPr>
          <w:rFonts w:ascii="Calibri" w:eastAsia="Calibri" w:hAnsi="Calibri" w:cs="Times New Roman"/>
        </w:rPr>
        <w:t xml:space="preserve">predmet C-144/04 </w:t>
      </w:r>
      <w:proofErr w:type="spellStart"/>
      <w:r w:rsidRPr="00C66CA4">
        <w:rPr>
          <w:rFonts w:ascii="Calibri" w:eastAsia="Calibri" w:hAnsi="Calibri" w:cs="Times New Roman"/>
          <w:i/>
        </w:rPr>
        <w:t>Mangold</w:t>
      </w:r>
      <w:proofErr w:type="spellEnd"/>
      <w:r>
        <w:rPr>
          <w:rFonts w:ascii="Calibri" w:eastAsia="Calibri" w:hAnsi="Calibri" w:cs="Times New Roman"/>
        </w:rPr>
        <w:t>). Iako je ova presuda doživjela brojne kritike, Sud ju je potvrdio u predmetu</w:t>
      </w:r>
      <w:r w:rsidR="00185E6C">
        <w:rPr>
          <w:rFonts w:ascii="Calibri" w:eastAsia="Calibri" w:hAnsi="Calibri" w:cs="Times New Roman"/>
        </w:rPr>
        <w:t xml:space="preserve"> C-555/07</w:t>
      </w:r>
      <w:r>
        <w:rPr>
          <w:rFonts w:ascii="Calibri" w:eastAsia="Calibri" w:hAnsi="Calibri" w:cs="Times New Roman"/>
        </w:rPr>
        <w:t xml:space="preserve"> </w:t>
      </w:r>
      <w:proofErr w:type="spellStart"/>
      <w:r w:rsidRPr="00C66CA4">
        <w:rPr>
          <w:rFonts w:ascii="Calibri" w:eastAsia="Calibri" w:hAnsi="Calibri" w:cs="Times New Roman"/>
          <w:i/>
        </w:rPr>
        <w:t>K</w:t>
      </w:r>
      <w:r w:rsidRPr="00C66CA4">
        <w:rPr>
          <w:rFonts w:ascii="Calibri" w:eastAsia="Calibri" w:hAnsi="Calibri" w:cs="Calibri"/>
          <w:i/>
        </w:rPr>
        <w:t>ücükdeveci</w:t>
      </w:r>
      <w:proofErr w:type="spellEnd"/>
      <w:r>
        <w:rPr>
          <w:rFonts w:ascii="Calibri" w:eastAsia="Calibri" w:hAnsi="Calibri" w:cs="Calibri"/>
        </w:rPr>
        <w:t>.</w:t>
      </w:r>
    </w:p>
    <w:p w14:paraId="1D958CD8" w14:textId="77777777" w:rsidR="00FE56BD" w:rsidRPr="001F2695" w:rsidRDefault="00FE56BD" w:rsidP="001F2695">
      <w:pPr>
        <w:jc w:val="both"/>
        <w:rPr>
          <w:rFonts w:ascii="Calibri" w:eastAsia="Calibri" w:hAnsi="Calibri" w:cs="Times New Roman"/>
        </w:rPr>
      </w:pPr>
      <w:r>
        <w:rPr>
          <w:rFonts w:ascii="Calibri" w:eastAsia="Calibri" w:hAnsi="Calibri" w:cs="Times New Roman"/>
        </w:rPr>
        <w:t xml:space="preserve"> </w:t>
      </w:r>
    </w:p>
    <w:sectPr w:rsidR="00FE56BD" w:rsidRPr="001F2695" w:rsidSect="00390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077B9"/>
    <w:multiLevelType w:val="hybridMultilevel"/>
    <w:tmpl w:val="7B5861C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
    <w:nsid w:val="733210BE"/>
    <w:multiLevelType w:val="hybridMultilevel"/>
    <w:tmpl w:val="090EC14A"/>
    <w:lvl w:ilvl="0" w:tplc="619E65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40"/>
    <w:rsid w:val="0004129E"/>
    <w:rsid w:val="00071173"/>
    <w:rsid w:val="00101010"/>
    <w:rsid w:val="00185E6C"/>
    <w:rsid w:val="001F2695"/>
    <w:rsid w:val="002766FD"/>
    <w:rsid w:val="002A5720"/>
    <w:rsid w:val="00364E7F"/>
    <w:rsid w:val="00390C9D"/>
    <w:rsid w:val="003D7F2B"/>
    <w:rsid w:val="003E4F0D"/>
    <w:rsid w:val="00440397"/>
    <w:rsid w:val="005060CC"/>
    <w:rsid w:val="0058673B"/>
    <w:rsid w:val="005D40C1"/>
    <w:rsid w:val="00672D1D"/>
    <w:rsid w:val="00775A6F"/>
    <w:rsid w:val="0085307D"/>
    <w:rsid w:val="008D7A9D"/>
    <w:rsid w:val="00961ACE"/>
    <w:rsid w:val="009D4929"/>
    <w:rsid w:val="009D75A9"/>
    <w:rsid w:val="009E1F57"/>
    <w:rsid w:val="00A12CC0"/>
    <w:rsid w:val="00A652F1"/>
    <w:rsid w:val="00C07E04"/>
    <w:rsid w:val="00C66CA4"/>
    <w:rsid w:val="00C904F7"/>
    <w:rsid w:val="00D002ED"/>
    <w:rsid w:val="00FE3340"/>
    <w:rsid w:val="00FE56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7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340"/>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E334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E3340"/>
    <w:pPr>
      <w:spacing w:after="0" w:line="240" w:lineRule="auto"/>
      <w:ind w:left="1080"/>
      <w:jc w:val="both"/>
    </w:pPr>
    <w:rPr>
      <w:rFonts w:ascii="Times New Roman" w:eastAsia="Times New Roman" w:hAnsi="Times New Roman" w:cs="Times New Roman"/>
      <w:i/>
      <w:iCs/>
      <w:sz w:val="24"/>
      <w:szCs w:val="24"/>
      <w:lang w:val="en-US"/>
    </w:rPr>
  </w:style>
  <w:style w:type="character" w:customStyle="1" w:styleId="BodyTextIndentChar">
    <w:name w:val="Body Text Indent Char"/>
    <w:basedOn w:val="DefaultParagraphFont"/>
    <w:link w:val="BodyTextIndent"/>
    <w:rsid w:val="00FE3340"/>
    <w:rPr>
      <w:rFonts w:ascii="Times New Roman" w:eastAsia="Times New Roman" w:hAnsi="Times New Roman" w:cs="Times New Roman"/>
      <w:i/>
      <w:iCs/>
      <w:sz w:val="24"/>
      <w:szCs w:val="24"/>
      <w:lang w:val="en-US"/>
    </w:rPr>
  </w:style>
  <w:style w:type="paragraph" w:styleId="ListParagraph">
    <w:name w:val="List Paragraph"/>
    <w:basedOn w:val="Normal"/>
    <w:uiPriority w:val="34"/>
    <w:qFormat/>
    <w:rsid w:val="0096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7124-C714-EC4F-A314-F48596FA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Tamara Capeta</cp:lastModifiedBy>
  <cp:revision>2</cp:revision>
  <dcterms:created xsi:type="dcterms:W3CDTF">2015-11-12T15:07:00Z</dcterms:created>
  <dcterms:modified xsi:type="dcterms:W3CDTF">2015-11-12T15:07:00Z</dcterms:modified>
</cp:coreProperties>
</file>